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50" w:rsidRDefault="00FF4150" w:rsidP="00FF4150">
      <w:pPr>
        <w:pStyle w:val="a1"/>
        <w:tabs>
          <w:tab w:val="left" w:pos="2505"/>
        </w:tabs>
        <w:spacing w:before="67" w:line="424" w:lineRule="auto"/>
        <w:ind w:left="690" w:right="697" w:hanging="1"/>
        <w:jc w:val="center"/>
      </w:pPr>
      <w:r>
        <w:t>МИНЕСТЕРСТВО СЕЛЬСКОГО ХОЗЯЙСТВА РФ</w:t>
      </w:r>
      <w:r>
        <w:rPr>
          <w:spacing w:val="1"/>
        </w:rPr>
        <w:t xml:space="preserve"> </w:t>
      </w:r>
      <w:r>
        <w:t>ДЕПАРТАМЕНТ НАУЧНО-ТЕХНОЛОГИЧЕСКОЙ ПОЛИТИКИ 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КОСТРОМСКАЯ</w:t>
      </w:r>
      <w:r>
        <w:rPr>
          <w:spacing w:val="-1"/>
        </w:rPr>
        <w:t xml:space="preserve"> </w:t>
      </w:r>
      <w:r>
        <w:t>ГСХА</w:t>
      </w:r>
    </w:p>
    <w:p w:rsidR="00FF4150" w:rsidRDefault="00FF4150" w:rsidP="00FF4150">
      <w:pPr>
        <w:pStyle w:val="a1"/>
        <w:spacing w:before="2"/>
        <w:ind w:left="852" w:right="860"/>
        <w:jc w:val="center"/>
      </w:pPr>
      <w:r>
        <w:t>Факультет</w:t>
      </w:r>
      <w:r>
        <w:rPr>
          <w:spacing w:val="-7"/>
        </w:rPr>
        <w:t xml:space="preserve"> </w:t>
      </w:r>
      <w:r>
        <w:t>ветеринарной</w:t>
      </w:r>
      <w:r>
        <w:rPr>
          <w:spacing w:val="-5"/>
        </w:rPr>
        <w:t xml:space="preserve"> </w:t>
      </w:r>
      <w:r>
        <w:t>медицины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зоотехнии</w:t>
      </w:r>
    </w:p>
    <w:p w:rsidR="00FF4150" w:rsidRDefault="00FF4150" w:rsidP="00FF4150">
      <w:pPr>
        <w:pStyle w:val="a1"/>
        <w:spacing w:before="249" w:line="424" w:lineRule="auto"/>
        <w:ind w:left="853" w:right="860"/>
        <w:jc w:val="center"/>
        <w:rPr>
          <w:spacing w:val="-67"/>
        </w:rPr>
      </w:pPr>
      <w:r>
        <w:t>Кафедра внутренние незаразные болезни, хирургия и акушерство</w:t>
      </w:r>
      <w:r>
        <w:rPr>
          <w:spacing w:val="-67"/>
        </w:rPr>
        <w:t xml:space="preserve"> </w:t>
      </w:r>
    </w:p>
    <w:p w:rsidR="00FF4150" w:rsidRDefault="00FF4150" w:rsidP="00FF4150">
      <w:pPr>
        <w:pStyle w:val="a1"/>
        <w:spacing w:before="249" w:line="424" w:lineRule="auto"/>
        <w:ind w:left="853" w:right="860"/>
        <w:jc w:val="center"/>
      </w:pPr>
      <w:r>
        <w:t>Дисциплина</w:t>
      </w:r>
      <w:r>
        <w:rPr>
          <w:spacing w:val="-1"/>
        </w:rPr>
        <w:t xml:space="preserve"> </w:t>
      </w:r>
      <w:r>
        <w:t>«Внутренние незаразные болезни»</w:t>
      </w:r>
    </w:p>
    <w:p w:rsidR="00FF4150" w:rsidRDefault="00FF4150" w:rsidP="00FF4150">
      <w:pPr>
        <w:pStyle w:val="a1"/>
        <w:rPr>
          <w:sz w:val="30"/>
        </w:rPr>
      </w:pPr>
    </w:p>
    <w:p w:rsidR="00FF4150" w:rsidRDefault="00FF4150" w:rsidP="00FF4150">
      <w:pPr>
        <w:pStyle w:val="a1"/>
        <w:spacing w:before="227"/>
        <w:ind w:left="853" w:right="858"/>
        <w:jc w:val="center"/>
      </w:pPr>
      <w:r>
        <w:t>РЕФЕРАТ</w:t>
      </w:r>
    </w:p>
    <w:p w:rsidR="00FF4150" w:rsidRDefault="00FF4150" w:rsidP="00FF4150">
      <w:pPr>
        <w:pStyle w:val="a1"/>
        <w:spacing w:before="247"/>
        <w:ind w:left="853" w:right="855"/>
        <w:jc w:val="center"/>
      </w:pPr>
      <w:r>
        <w:t>Тема:</w:t>
      </w:r>
      <w:r>
        <w:rPr>
          <w:spacing w:val="-1"/>
        </w:rPr>
        <w:t xml:space="preserve"> </w:t>
      </w:r>
      <w:r w:rsidR="00B66399">
        <w:t>«</w:t>
      </w:r>
      <w:r w:rsidR="006262D4" w:rsidRPr="002234E8">
        <w:rPr>
          <w:szCs w:val="28"/>
        </w:rPr>
        <w:t>Пролиферативные и гипериммунные боле</w:t>
      </w:r>
      <w:r w:rsidR="006262D4" w:rsidRPr="002234E8">
        <w:rPr>
          <w:szCs w:val="28"/>
        </w:rPr>
        <w:t>з</w:t>
      </w:r>
      <w:r w:rsidR="006262D4" w:rsidRPr="002234E8">
        <w:rPr>
          <w:szCs w:val="28"/>
        </w:rPr>
        <w:t>ни</w:t>
      </w:r>
      <w:r>
        <w:t>»</w:t>
      </w:r>
    </w:p>
    <w:p w:rsidR="00FF4150" w:rsidRDefault="00FF4150" w:rsidP="00FF4150">
      <w:pPr>
        <w:pStyle w:val="a1"/>
        <w:rPr>
          <w:sz w:val="30"/>
        </w:rPr>
      </w:pPr>
    </w:p>
    <w:p w:rsidR="00FF4150" w:rsidRDefault="00FF4150" w:rsidP="00FF4150">
      <w:pPr>
        <w:pStyle w:val="a1"/>
        <w:rPr>
          <w:sz w:val="30"/>
        </w:rPr>
      </w:pPr>
    </w:p>
    <w:p w:rsidR="00FF4150" w:rsidRDefault="00FF4150" w:rsidP="00FF4150">
      <w:pPr>
        <w:pStyle w:val="a1"/>
        <w:rPr>
          <w:sz w:val="30"/>
        </w:rPr>
      </w:pPr>
    </w:p>
    <w:p w:rsidR="00FF4150" w:rsidRDefault="00FF4150" w:rsidP="00FF4150">
      <w:pPr>
        <w:pStyle w:val="a1"/>
        <w:spacing w:before="8"/>
        <w:rPr>
          <w:sz w:val="29"/>
        </w:rPr>
      </w:pPr>
    </w:p>
    <w:p w:rsidR="00FF4150" w:rsidRDefault="00FC5D7A" w:rsidP="00FF4150">
      <w:pPr>
        <w:pStyle w:val="a1"/>
        <w:ind w:left="5066" w:right="724" w:firstLine="37"/>
        <w:jc w:val="left"/>
      </w:pPr>
      <w:r>
        <w:t>Выполнил: студент 55</w:t>
      </w:r>
      <w:r w:rsidR="00FF4150">
        <w:t xml:space="preserve">1 </w:t>
      </w:r>
      <w:proofErr w:type="gramStart"/>
      <w:r w:rsidR="00FF4150">
        <w:t>группы</w:t>
      </w:r>
      <w:r w:rsidR="00FF4150">
        <w:rPr>
          <w:spacing w:val="-67"/>
        </w:rPr>
        <w:t xml:space="preserve"> </w:t>
      </w:r>
      <w:r w:rsidR="00FF4150">
        <w:t xml:space="preserve"> </w:t>
      </w:r>
      <w:proofErr w:type="spellStart"/>
      <w:r w:rsidR="00FF4150">
        <w:t>Клочкова</w:t>
      </w:r>
      <w:proofErr w:type="spellEnd"/>
      <w:proofErr w:type="gramEnd"/>
      <w:r w:rsidR="00FF4150">
        <w:t xml:space="preserve"> Татьяна Владимировна</w:t>
      </w:r>
    </w:p>
    <w:p w:rsidR="00FF4150" w:rsidRDefault="00FF4150" w:rsidP="00FF4150">
      <w:pPr>
        <w:pStyle w:val="a1"/>
        <w:spacing w:before="1"/>
        <w:ind w:firstLine="37"/>
        <w:jc w:val="left"/>
      </w:pPr>
    </w:p>
    <w:p w:rsidR="00FF4150" w:rsidRDefault="00FF4150" w:rsidP="00FF4150">
      <w:pPr>
        <w:pStyle w:val="a1"/>
        <w:ind w:left="5066" w:right="850" w:firstLine="37"/>
        <w:jc w:val="left"/>
      </w:pPr>
      <w:r>
        <w:t>Проверил: профессор, доктор</w:t>
      </w:r>
      <w:r>
        <w:rPr>
          <w:spacing w:val="1"/>
        </w:rPr>
        <w:t xml:space="preserve"> </w:t>
      </w:r>
      <w:r>
        <w:t xml:space="preserve">биологических наук - </w:t>
      </w:r>
      <w:proofErr w:type="spellStart"/>
      <w:r>
        <w:t>Кочуева</w:t>
      </w:r>
      <w:proofErr w:type="spellEnd"/>
      <w:r>
        <w:rPr>
          <w:spacing w:val="-67"/>
        </w:rPr>
        <w:t xml:space="preserve"> </w:t>
      </w:r>
      <w:r>
        <w:t>Наталья</w:t>
      </w:r>
      <w:r>
        <w:rPr>
          <w:spacing w:val="-1"/>
        </w:rPr>
        <w:t xml:space="preserve"> </w:t>
      </w:r>
      <w:r>
        <w:t>Анатольевна.</w:t>
      </w:r>
    </w:p>
    <w:p w:rsidR="00FF4150" w:rsidRDefault="00FF4150" w:rsidP="00FF4150">
      <w:pPr>
        <w:pStyle w:val="a1"/>
        <w:rPr>
          <w:sz w:val="20"/>
        </w:rPr>
      </w:pPr>
    </w:p>
    <w:p w:rsidR="00FF4150" w:rsidRDefault="00FF4150" w:rsidP="00FF4150">
      <w:pPr>
        <w:pStyle w:val="a1"/>
        <w:rPr>
          <w:sz w:val="20"/>
        </w:rPr>
      </w:pPr>
    </w:p>
    <w:p w:rsidR="00FF4150" w:rsidRDefault="00FF4150" w:rsidP="00FF4150">
      <w:pPr>
        <w:pStyle w:val="a1"/>
        <w:rPr>
          <w:sz w:val="20"/>
        </w:rPr>
      </w:pPr>
    </w:p>
    <w:p w:rsidR="00FF4150" w:rsidRDefault="00FF4150" w:rsidP="00FF4150">
      <w:pPr>
        <w:pStyle w:val="a1"/>
        <w:rPr>
          <w:sz w:val="20"/>
        </w:rPr>
      </w:pPr>
    </w:p>
    <w:p w:rsidR="00FF4150" w:rsidRDefault="00FF4150" w:rsidP="00FF4150">
      <w:pPr>
        <w:pStyle w:val="a1"/>
        <w:spacing w:before="2"/>
        <w:rPr>
          <w:sz w:val="18"/>
        </w:rPr>
      </w:pPr>
    </w:p>
    <w:p w:rsidR="00FC5D7A" w:rsidRDefault="00FF4150" w:rsidP="00FC5D7A">
      <w:pPr>
        <w:pStyle w:val="a1"/>
        <w:spacing w:before="89"/>
        <w:ind w:left="853" w:right="855"/>
        <w:jc w:val="center"/>
      </w:pPr>
      <w:proofErr w:type="spellStart"/>
      <w:r>
        <w:t>Караваево</w:t>
      </w:r>
      <w:proofErr w:type="spellEnd"/>
      <w:r>
        <w:rPr>
          <w:spacing w:val="-3"/>
        </w:rPr>
        <w:t xml:space="preserve"> </w:t>
      </w:r>
      <w:r>
        <w:t>2023</w:t>
      </w:r>
    </w:p>
    <w:sdt>
      <w:sdtPr>
        <w:id w:val="538631138"/>
        <w:docPartObj>
          <w:docPartGallery w:val="Table of Contents"/>
          <w:docPartUnique/>
        </w:docPartObj>
      </w:sdtPr>
      <w:sdtEndPr>
        <w:rPr>
          <w:bCs/>
          <w:caps w:val="0"/>
        </w:rPr>
      </w:sdtEndPr>
      <w:sdtContent>
        <w:p w:rsidR="00FC5D7A" w:rsidRDefault="00FC5D7A" w:rsidP="00FC5D7A">
          <w:pPr>
            <w:pStyle w:val="12"/>
          </w:pPr>
          <w:r>
            <w:t>Оглавление</w:t>
          </w:r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034656" w:history="1">
            <w:r w:rsidRPr="00621AD4">
              <w:rPr>
                <w:rStyle w:val="ab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57" w:history="1">
            <w:r w:rsidRPr="00621AD4">
              <w:rPr>
                <w:rStyle w:val="ab"/>
                <w:noProof/>
              </w:rPr>
              <w:t>Этиология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58" w:history="1">
            <w:r w:rsidRPr="00621AD4">
              <w:rPr>
                <w:rStyle w:val="ab"/>
                <w:noProof/>
              </w:rPr>
              <w:t>Патогенез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59" w:history="1">
            <w:r w:rsidRPr="00621AD4">
              <w:rPr>
                <w:rStyle w:val="ab"/>
                <w:noProof/>
              </w:rPr>
              <w:t>Симптомы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60" w:history="1">
            <w:r w:rsidRPr="00621AD4">
              <w:rPr>
                <w:rStyle w:val="ab"/>
                <w:noProof/>
              </w:rPr>
              <w:t>Клиника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61" w:history="1">
            <w:r w:rsidRPr="00621AD4">
              <w:rPr>
                <w:rStyle w:val="ab"/>
                <w:noProof/>
              </w:rPr>
              <w:t>Патологоанатомические изменения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62" w:history="1">
            <w:r w:rsidRPr="00621AD4">
              <w:rPr>
                <w:rStyle w:val="ab"/>
                <w:noProof/>
              </w:rPr>
              <w:t>Диагноз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63" w:history="1">
            <w:r w:rsidRPr="00621AD4">
              <w:rPr>
                <w:rStyle w:val="ab"/>
                <w:noProof/>
              </w:rPr>
              <w:t>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034664" w:history="1">
            <w:r w:rsidRPr="00621AD4">
              <w:rPr>
                <w:rStyle w:val="ab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_Toc153034664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D7A" w:rsidRDefault="00FC5D7A">
          <w:r>
            <w:rPr>
              <w:b/>
              <w:bCs/>
            </w:rPr>
            <w:fldChar w:fldCharType="end"/>
          </w:r>
        </w:p>
      </w:sdtContent>
    </w:sdt>
    <w:p w:rsidR="006262D4" w:rsidRDefault="006262D4">
      <w:pPr>
        <w:spacing w:line="276" w:lineRule="auto"/>
        <w:ind w:left="0" w:right="0" w:firstLine="0"/>
        <w:jc w:val="left"/>
      </w:pPr>
    </w:p>
    <w:p w:rsidR="00AB7EC7" w:rsidRPr="00AB7EC7" w:rsidRDefault="00AB7EC7" w:rsidP="00AB7EC7">
      <w:pPr>
        <w:pStyle w:val="12"/>
      </w:pPr>
      <w:bookmarkStart w:id="0" w:name="_Toc153034656"/>
      <w:r w:rsidRPr="00AB7EC7">
        <w:lastRenderedPageBreak/>
        <w:t>Введение</w:t>
      </w:r>
      <w:bookmarkEnd w:id="0"/>
    </w:p>
    <w:p w:rsidR="00AB7EC7" w:rsidRPr="00AB7EC7" w:rsidRDefault="00AB7EC7" w:rsidP="00AB7EC7">
      <w:pPr>
        <w:pStyle w:val="a2"/>
      </w:pPr>
      <w:r w:rsidRPr="00AB7EC7">
        <w:t xml:space="preserve">Эти болезни иммунной системы характеризуются неограниченным размножением клеток кроветворной и иммунной систем. Классификация этих заболеваний представляет определенные трудности. В основу ее положен клинико-морфологический критерий и иммунологические особенности </w:t>
      </w:r>
      <w:proofErr w:type="spellStart"/>
      <w:r w:rsidRPr="00AB7EC7">
        <w:t>лимфопролиферативных</w:t>
      </w:r>
      <w:proofErr w:type="spellEnd"/>
      <w:r w:rsidRPr="00AB7EC7">
        <w:t xml:space="preserve"> болезней. Среди них выделяют </w:t>
      </w:r>
      <w:proofErr w:type="spellStart"/>
      <w:r w:rsidRPr="00AB7EC7">
        <w:t>гиперлейкоцитозы</w:t>
      </w:r>
      <w:proofErr w:type="spellEnd"/>
      <w:r w:rsidRPr="00AB7EC7">
        <w:t xml:space="preserve">, </w:t>
      </w:r>
      <w:proofErr w:type="spellStart"/>
      <w:r w:rsidRPr="00AB7EC7">
        <w:t>гипериммуноглобулинемии</w:t>
      </w:r>
      <w:proofErr w:type="spellEnd"/>
      <w:r w:rsidRPr="00AB7EC7">
        <w:t xml:space="preserve">, </w:t>
      </w:r>
      <w:proofErr w:type="spellStart"/>
      <w:r w:rsidRPr="00AB7EC7">
        <w:t>лимфогрануломатоз</w:t>
      </w:r>
      <w:proofErr w:type="spellEnd"/>
      <w:r w:rsidRPr="00AB7EC7">
        <w:t xml:space="preserve">, хронический </w:t>
      </w:r>
      <w:proofErr w:type="spellStart"/>
      <w:r w:rsidRPr="00AB7EC7">
        <w:t>лимфолейкоз</w:t>
      </w:r>
      <w:proofErr w:type="spellEnd"/>
      <w:r w:rsidRPr="00AB7EC7">
        <w:t>, множественную миелому (</w:t>
      </w:r>
      <w:proofErr w:type="spellStart"/>
      <w:r w:rsidRPr="00AB7EC7">
        <w:t>плазмоцитому</w:t>
      </w:r>
      <w:proofErr w:type="spellEnd"/>
      <w:r w:rsidRPr="00AB7EC7">
        <w:t xml:space="preserve">), </w:t>
      </w:r>
      <w:proofErr w:type="spellStart"/>
      <w:r w:rsidRPr="00AB7EC7">
        <w:t>макроглобулинемию</w:t>
      </w:r>
      <w:proofErr w:type="spellEnd"/>
      <w:r w:rsidRPr="00AB7EC7">
        <w:t xml:space="preserve"> и болезнь тяжелых цепей.</w:t>
      </w:r>
    </w:p>
    <w:p w:rsidR="00AB7EC7" w:rsidRDefault="00AB7EC7" w:rsidP="00AB7EC7">
      <w:pPr>
        <w:pStyle w:val="a2"/>
      </w:pPr>
      <w:r w:rsidRPr="00AB7EC7">
        <w:t xml:space="preserve">К </w:t>
      </w:r>
      <w:proofErr w:type="spellStart"/>
      <w:r w:rsidRPr="00AB7EC7">
        <w:t>лимфо</w:t>
      </w:r>
      <w:proofErr w:type="spellEnd"/>
      <w:r w:rsidR="00FC5D7A">
        <w:t>-</w:t>
      </w:r>
      <w:r w:rsidRPr="00AB7EC7">
        <w:t>пролиферативным болезням лошадей от</w:t>
      </w:r>
      <w:r w:rsidR="00FC5D7A">
        <w:t xml:space="preserve">носят лейкоз. Под </w:t>
      </w:r>
      <w:r w:rsidRPr="00AB7EC7">
        <w:t>лейкозом понимают сист</w:t>
      </w:r>
      <w:r w:rsidR="00FC5D7A">
        <w:t>емное заболевание органов крове</w:t>
      </w:r>
      <w:bookmarkStart w:id="1" w:name="_GoBack"/>
      <w:bookmarkEnd w:id="1"/>
      <w:r w:rsidRPr="00AB7EC7">
        <w:t xml:space="preserve">творения </w:t>
      </w:r>
      <w:proofErr w:type="spellStart"/>
      <w:r w:rsidRPr="00AB7EC7">
        <w:t>бластоматозного</w:t>
      </w:r>
      <w:proofErr w:type="spellEnd"/>
      <w:r w:rsidRPr="00AB7EC7">
        <w:t xml:space="preserve"> происхождения.</w:t>
      </w:r>
    </w:p>
    <w:p w:rsidR="00AB7EC7" w:rsidRPr="00AB7EC7" w:rsidRDefault="00AB7EC7" w:rsidP="00AB7EC7">
      <w:pPr>
        <w:spacing w:line="276" w:lineRule="auto"/>
        <w:ind w:left="0" w:right="0" w:firstLine="0"/>
        <w:jc w:val="left"/>
      </w:pPr>
      <w:r>
        <w:br w:type="page"/>
      </w:r>
    </w:p>
    <w:p w:rsidR="00AB7EC7" w:rsidRPr="00AB7EC7" w:rsidRDefault="00AB7EC7" w:rsidP="00FC5D7A">
      <w:pPr>
        <w:pStyle w:val="1"/>
        <w:numPr>
          <w:ilvl w:val="0"/>
          <w:numId w:val="0"/>
        </w:numPr>
        <w:spacing w:before="0" w:after="0"/>
        <w:ind w:left="1066"/>
      </w:pPr>
      <w:bookmarkStart w:id="2" w:name="_Toc153034657"/>
      <w:r>
        <w:lastRenderedPageBreak/>
        <w:t>Этиология</w:t>
      </w:r>
      <w:bookmarkEnd w:id="2"/>
    </w:p>
    <w:p w:rsidR="00AB7EC7" w:rsidRPr="00AB7EC7" w:rsidRDefault="00AB7EC7" w:rsidP="00AB7EC7">
      <w:pPr>
        <w:pStyle w:val="a2"/>
      </w:pPr>
      <w:r w:rsidRPr="00AB7EC7">
        <w:t xml:space="preserve">Этиология лейкоза лошадей остается до настоящего времени не установленной. Исходя из доказательств вирусной этиологии лейкоза крупного и мелкого рогатого скота, других животных, можно </w:t>
      </w:r>
      <w:proofErr w:type="spellStart"/>
      <w:r w:rsidRPr="00AB7EC7">
        <w:t>предплагать</w:t>
      </w:r>
      <w:proofErr w:type="spellEnd"/>
      <w:r w:rsidRPr="00AB7EC7">
        <w:t xml:space="preserve"> вирусное происхождение и лейкоза лошадей.</w:t>
      </w:r>
    </w:p>
    <w:p w:rsidR="00AB7EC7" w:rsidRDefault="00AB7EC7" w:rsidP="00FC5D7A">
      <w:pPr>
        <w:pStyle w:val="1"/>
        <w:numPr>
          <w:ilvl w:val="0"/>
          <w:numId w:val="0"/>
        </w:numPr>
        <w:spacing w:before="0" w:after="0"/>
        <w:ind w:left="1066"/>
      </w:pPr>
      <w:bookmarkStart w:id="3" w:name="_Toc153034658"/>
      <w:r w:rsidRPr="00AB7EC7">
        <w:t>Патог</w:t>
      </w:r>
      <w:r>
        <w:t>енез</w:t>
      </w:r>
      <w:bookmarkEnd w:id="3"/>
    </w:p>
    <w:p w:rsidR="00AB7EC7" w:rsidRPr="00AB7EC7" w:rsidRDefault="00AB7EC7" w:rsidP="00AB7EC7">
      <w:pPr>
        <w:pStyle w:val="a2"/>
      </w:pPr>
      <w:r w:rsidRPr="00AB7EC7">
        <w:t xml:space="preserve">Заболевание протекает преимущественно как </w:t>
      </w:r>
      <w:proofErr w:type="spellStart"/>
      <w:r w:rsidRPr="00AB7EC7">
        <w:t>лимфолейкоз</w:t>
      </w:r>
      <w:proofErr w:type="spellEnd"/>
      <w:r w:rsidRPr="00AB7EC7">
        <w:t xml:space="preserve"> с быстрой пролиферацией лимфоидной ткани. В первую очередь поражаются лимфатические узлы, но могут вовлекаться и паренхиматозные органы — селезенка, печень, почки, желудочно-кишечный тракт. Описаны случаи и </w:t>
      </w:r>
      <w:proofErr w:type="spellStart"/>
      <w:r w:rsidRPr="00AB7EC7">
        <w:t>миелолейкоза</w:t>
      </w:r>
      <w:proofErr w:type="spellEnd"/>
      <w:r w:rsidRPr="00AB7EC7">
        <w:t xml:space="preserve">, с преимущественным </w:t>
      </w:r>
      <w:proofErr w:type="spellStart"/>
      <w:r w:rsidRPr="00AB7EC7">
        <w:t>бластоматозным</w:t>
      </w:r>
      <w:proofErr w:type="spellEnd"/>
      <w:r w:rsidRPr="00AB7EC7">
        <w:t xml:space="preserve"> поражением красного костного мозга. Заболевание может протекать в лейкемической и </w:t>
      </w:r>
      <w:proofErr w:type="spellStart"/>
      <w:r w:rsidRPr="00AB7EC7">
        <w:t>алейкемической</w:t>
      </w:r>
      <w:proofErr w:type="spellEnd"/>
      <w:r w:rsidRPr="00AB7EC7">
        <w:t xml:space="preserve"> формах.</w:t>
      </w:r>
    </w:p>
    <w:p w:rsidR="00AB7EC7" w:rsidRDefault="00AB7EC7" w:rsidP="00FC5D7A">
      <w:pPr>
        <w:pStyle w:val="1"/>
        <w:numPr>
          <w:ilvl w:val="0"/>
          <w:numId w:val="0"/>
        </w:numPr>
        <w:spacing w:before="0" w:after="0"/>
        <w:ind w:left="1066"/>
      </w:pPr>
      <w:bookmarkStart w:id="4" w:name="_Toc153034659"/>
      <w:r>
        <w:t>Симптомы</w:t>
      </w:r>
      <w:bookmarkEnd w:id="4"/>
    </w:p>
    <w:p w:rsidR="00AB7EC7" w:rsidRPr="00AB7EC7" w:rsidRDefault="00AB7EC7" w:rsidP="00AB7EC7">
      <w:pPr>
        <w:pStyle w:val="a2"/>
      </w:pPr>
      <w:r w:rsidRPr="00AB7EC7">
        <w:t xml:space="preserve">Клинические признаки многообразны. У больных отмечаются отказ от корма, общая слабость, лихорадка, артериальная гипертензия, </w:t>
      </w:r>
      <w:proofErr w:type="spellStart"/>
      <w:r w:rsidRPr="00AB7EC7">
        <w:t>симптомокомплекс</w:t>
      </w:r>
      <w:proofErr w:type="spellEnd"/>
      <w:r w:rsidRPr="00AB7EC7">
        <w:t xml:space="preserve"> колик, как следствие сердечной недостаточности — отеки нижней части живота, области груди. Объем живота может быть значительно увеличен за счет резкого разрастания селезенки, вес которой может достигать 55 кг при длине около 1 м. </w:t>
      </w:r>
      <w:proofErr w:type="spellStart"/>
      <w:r w:rsidRPr="00AB7EC7">
        <w:t>Перкуторно</w:t>
      </w:r>
      <w:proofErr w:type="spellEnd"/>
      <w:r w:rsidRPr="00AB7EC7">
        <w:t xml:space="preserve"> могут быть обнаружены увеличенные лимфоузлы и опухолевые </w:t>
      </w:r>
      <w:proofErr w:type="gramStart"/>
      <w:r w:rsidRPr="00AB7EC7">
        <w:t>очаги[</w:t>
      </w:r>
      <w:proofErr w:type="gramEnd"/>
      <w:r w:rsidRPr="00AB7EC7">
        <w:t>1].</w:t>
      </w:r>
    </w:p>
    <w:p w:rsidR="00FC5D7A" w:rsidRDefault="00FC5D7A" w:rsidP="00FC5D7A">
      <w:pPr>
        <w:pStyle w:val="1"/>
        <w:numPr>
          <w:ilvl w:val="0"/>
          <w:numId w:val="0"/>
        </w:numPr>
        <w:spacing w:before="0" w:after="0"/>
        <w:ind w:left="1066"/>
      </w:pPr>
      <w:bookmarkStart w:id="5" w:name="_Toc153034660"/>
      <w:r>
        <w:t>Клиника</w:t>
      </w:r>
      <w:bookmarkEnd w:id="5"/>
    </w:p>
    <w:p w:rsidR="00AB7EC7" w:rsidRPr="00AB7EC7" w:rsidRDefault="00FC5D7A" w:rsidP="00AB7EC7">
      <w:pPr>
        <w:pStyle w:val="a2"/>
      </w:pPr>
      <w:r>
        <w:t>З</w:t>
      </w:r>
      <w:r w:rsidR="00AB7EC7" w:rsidRPr="00AB7EC7">
        <w:t xml:space="preserve">ависит от вида </w:t>
      </w:r>
      <w:proofErr w:type="spellStart"/>
      <w:r w:rsidR="00AB7EC7" w:rsidRPr="00AB7EC7">
        <w:t>иммуноактивного</w:t>
      </w:r>
      <w:proofErr w:type="spellEnd"/>
      <w:r w:rsidR="00AB7EC7" w:rsidRPr="00AB7EC7">
        <w:t xml:space="preserve"> состояния и пролиферативных болезней. </w:t>
      </w:r>
      <w:proofErr w:type="spellStart"/>
      <w:r w:rsidR="00AB7EC7" w:rsidRPr="00AB7EC7">
        <w:t>Гиперлейкоцитозы</w:t>
      </w:r>
      <w:proofErr w:type="spellEnd"/>
      <w:r w:rsidR="00AB7EC7" w:rsidRPr="00AB7EC7">
        <w:t xml:space="preserve"> сопровождаются резким и длительным увеличением лейкоцитов в крови у большинства животных за счет нейтрофилов, а у крупного рогатого скота за счет лимфоцитов.</w:t>
      </w:r>
    </w:p>
    <w:p w:rsidR="00AB7EC7" w:rsidRPr="00AB7EC7" w:rsidRDefault="00AB7EC7" w:rsidP="00AB7EC7">
      <w:pPr>
        <w:pStyle w:val="a2"/>
      </w:pPr>
      <w:r w:rsidRPr="00AB7EC7">
        <w:t xml:space="preserve">Кроме того, несмотря на высокое содержание лейкоцитов, отмечаются частые рецидивирующие инфекции. </w:t>
      </w:r>
      <w:proofErr w:type="spellStart"/>
      <w:r w:rsidRPr="00AB7EC7">
        <w:t>Гипериммуноглобулинемии</w:t>
      </w:r>
      <w:proofErr w:type="spellEnd"/>
      <w:r w:rsidRPr="00AB7EC7">
        <w:t xml:space="preserve"> свойственны стойкое увеличение иммуноглобулинов вследствие образования и отложения комплексов антиген -антитело, развивается иммунное воспаление, чаще всего в клубоч</w:t>
      </w:r>
      <w:r>
        <w:t>ках почек.</w:t>
      </w:r>
    </w:p>
    <w:p w:rsidR="00AB7EC7" w:rsidRPr="00AB7EC7" w:rsidRDefault="00AB7EC7" w:rsidP="00AB7EC7">
      <w:pPr>
        <w:pStyle w:val="a2"/>
      </w:pPr>
      <w:proofErr w:type="spellStart"/>
      <w:r w:rsidRPr="00AB7EC7">
        <w:lastRenderedPageBreak/>
        <w:t>Лимфогрануломатоз</w:t>
      </w:r>
      <w:proofErr w:type="spellEnd"/>
      <w:r w:rsidRPr="00AB7EC7">
        <w:t xml:space="preserve"> проявляется недостаточностью клеточного иммунитета. Наблюдается злокачественное перерождение Т-лимфоцитов и неопластическая трансформация ретикулярных клеток. Одновременно в крови уменьшается содержание иммуноглобулинов. На фоне клеточной и слабее выраженной гуморальной иммунной недостаточности у животных часто возникают заболевания, обусловленные условно-патогенными микроорганизмами, проявляющиеся желудочно-кишечным, респираторным, кожным и септическими синдромами.</w:t>
      </w:r>
    </w:p>
    <w:p w:rsidR="00AB7EC7" w:rsidRPr="00AB7EC7" w:rsidRDefault="00AB7EC7" w:rsidP="00AB7EC7">
      <w:pPr>
        <w:pStyle w:val="a2"/>
      </w:pPr>
      <w:proofErr w:type="spellStart"/>
      <w:r w:rsidRPr="00AB7EC7">
        <w:t>Лимфолейкоз</w:t>
      </w:r>
      <w:proofErr w:type="spellEnd"/>
      <w:r w:rsidRPr="00AB7EC7">
        <w:t xml:space="preserve"> характеризуется постепенным накоплением преимущественно малых, долгоживущих лимфоцитов в крови, костном мозге, лимфатических узлах, селезенке и других тканях. Хронический </w:t>
      </w:r>
      <w:proofErr w:type="spellStart"/>
      <w:r w:rsidRPr="00AB7EC7">
        <w:t>лимфолейкоз</w:t>
      </w:r>
      <w:proofErr w:type="spellEnd"/>
      <w:r w:rsidRPr="00AB7EC7">
        <w:t xml:space="preserve"> связан с неконтролируемым размножением В-лимфоцитов, на поверхности которых находятся </w:t>
      </w:r>
      <w:proofErr w:type="spellStart"/>
      <w:r w:rsidRPr="00AB7EC7">
        <w:t>моноклональные</w:t>
      </w:r>
      <w:proofErr w:type="spellEnd"/>
      <w:r w:rsidRPr="00AB7EC7">
        <w:t xml:space="preserve"> иммуноглобулины М и В. Реже бывает острый Т-клеточный лейкоз. Множественная миелома (</w:t>
      </w:r>
      <w:proofErr w:type="spellStart"/>
      <w:r w:rsidRPr="00AB7EC7">
        <w:t>плазмоцитома</w:t>
      </w:r>
      <w:proofErr w:type="spellEnd"/>
      <w:r w:rsidRPr="00AB7EC7">
        <w:t xml:space="preserve">) клинически проявляется </w:t>
      </w:r>
      <w:proofErr w:type="spellStart"/>
      <w:r w:rsidRPr="00AB7EC7">
        <w:t>парапротеинемией</w:t>
      </w:r>
      <w:proofErr w:type="spellEnd"/>
      <w:r w:rsidRPr="00AB7EC7">
        <w:t xml:space="preserve">, связанной с бурным размножением плазматических клеток, а также поражениями костной ткани плазматическими клетками и как следствие этого изменение скелета (остеопороз, спонтанные переломы). </w:t>
      </w:r>
      <w:proofErr w:type="spellStart"/>
      <w:r w:rsidRPr="00AB7EC7">
        <w:t>Макроглобулинемия</w:t>
      </w:r>
      <w:proofErr w:type="spellEnd"/>
      <w:r w:rsidRPr="00AB7EC7">
        <w:t xml:space="preserve"> характеризуется </w:t>
      </w:r>
      <w:proofErr w:type="spellStart"/>
      <w:r w:rsidRPr="00AB7EC7">
        <w:t>моноклональным</w:t>
      </w:r>
      <w:proofErr w:type="spellEnd"/>
      <w:r w:rsidRPr="00AB7EC7">
        <w:t xml:space="preserve"> синтезом иммуноглобулина М и является разновидностью </w:t>
      </w:r>
      <w:proofErr w:type="spellStart"/>
      <w:r w:rsidRPr="00AB7EC7">
        <w:t>плазмоцитомы</w:t>
      </w:r>
      <w:proofErr w:type="spellEnd"/>
      <w:r w:rsidRPr="00AB7EC7">
        <w:t>. При мак-</w:t>
      </w:r>
      <w:proofErr w:type="spellStart"/>
      <w:r w:rsidRPr="00AB7EC7">
        <w:t>роглобулинемии</w:t>
      </w:r>
      <w:proofErr w:type="spellEnd"/>
      <w:r w:rsidRPr="00AB7EC7">
        <w:t xml:space="preserve"> иммуноглобулин М обнаруживается на поверхности мембран и в цитоплазме плазматических клеток. Для болезни тяжелых цепей характерен повышенный синтез фрагментов Н-цепей иммуноглобулинов. Это особая форма </w:t>
      </w:r>
      <w:proofErr w:type="spellStart"/>
      <w:r w:rsidRPr="00AB7EC7">
        <w:t>плазмоцитомы</w:t>
      </w:r>
      <w:proofErr w:type="spellEnd"/>
      <w:r w:rsidRPr="00AB7EC7">
        <w:t>, когда плазматические клетки с нарушенной дифференцировкой не в состоянии продуцировать полные молекулы иммуноглобулинов.</w:t>
      </w:r>
    </w:p>
    <w:p w:rsidR="00FC5D7A" w:rsidRDefault="00AB7EC7" w:rsidP="00FC5D7A">
      <w:pPr>
        <w:pStyle w:val="1"/>
        <w:numPr>
          <w:ilvl w:val="0"/>
          <w:numId w:val="0"/>
        </w:numPr>
        <w:spacing w:before="0" w:after="0"/>
        <w:ind w:left="1066"/>
      </w:pPr>
      <w:bookmarkStart w:id="6" w:name="_Toc153034661"/>
      <w:r w:rsidRPr="00AB7EC7">
        <w:t>П</w:t>
      </w:r>
      <w:r w:rsidR="00FC5D7A">
        <w:t>атологоанатомические изменения</w:t>
      </w:r>
      <w:bookmarkEnd w:id="6"/>
    </w:p>
    <w:p w:rsidR="00AB7EC7" w:rsidRPr="00AB7EC7" w:rsidRDefault="00FC5D7A" w:rsidP="00AB7EC7">
      <w:pPr>
        <w:pStyle w:val="a2"/>
      </w:pPr>
      <w:r>
        <w:t>З</w:t>
      </w:r>
      <w:r w:rsidR="00AB7EC7" w:rsidRPr="00AB7EC7">
        <w:t xml:space="preserve">ависят от вида иммунопатологического состояния и пролиферативных болезней. При </w:t>
      </w:r>
      <w:proofErr w:type="spellStart"/>
      <w:r w:rsidR="00AB7EC7" w:rsidRPr="00AB7EC7">
        <w:t>гиперлейкоцитозах</w:t>
      </w:r>
      <w:proofErr w:type="spellEnd"/>
      <w:r w:rsidR="00AB7EC7" w:rsidRPr="00AB7EC7">
        <w:t xml:space="preserve"> отмечают изменения, чаще всего свойственные гнойному воспалению. При </w:t>
      </w:r>
      <w:proofErr w:type="spellStart"/>
      <w:r w:rsidR="00AB7EC7" w:rsidRPr="00AB7EC7">
        <w:t>гипериммуноглобулинемии</w:t>
      </w:r>
      <w:proofErr w:type="spellEnd"/>
      <w:r w:rsidR="00AB7EC7" w:rsidRPr="00AB7EC7">
        <w:t xml:space="preserve"> наблюдается развитие воспаления на иммунной основе, связанное с отложением комплексов антиген-антитело. Наиболее часто воспалительные изменения происходят в </w:t>
      </w:r>
      <w:r w:rsidR="00AB7EC7" w:rsidRPr="00AB7EC7">
        <w:lastRenderedPageBreak/>
        <w:t xml:space="preserve">клубочках почек. Для лимфогранулематоза характерно увеличение лимфатических узлов, селезенки и печени, обнаружение в пораженных органах клеток </w:t>
      </w:r>
      <w:proofErr w:type="spellStart"/>
      <w:r w:rsidR="00AB7EC7" w:rsidRPr="00AB7EC7">
        <w:t>Ходжкина</w:t>
      </w:r>
      <w:proofErr w:type="spellEnd"/>
      <w:r w:rsidR="00AB7EC7" w:rsidRPr="00AB7EC7">
        <w:t xml:space="preserve"> и многоядерных гигантских клеток </w:t>
      </w:r>
      <w:proofErr w:type="spellStart"/>
      <w:r w:rsidR="00AB7EC7" w:rsidRPr="00AB7EC7">
        <w:t>Штернберга</w:t>
      </w:r>
      <w:proofErr w:type="spellEnd"/>
      <w:r w:rsidR="00AB7EC7" w:rsidRPr="00AB7EC7">
        <w:t xml:space="preserve">. Хронический </w:t>
      </w:r>
      <w:proofErr w:type="spellStart"/>
      <w:r w:rsidR="00AB7EC7" w:rsidRPr="00AB7EC7">
        <w:t>лимфолейкоз</w:t>
      </w:r>
      <w:proofErr w:type="spellEnd"/>
      <w:r w:rsidR="00AB7EC7" w:rsidRPr="00AB7EC7">
        <w:t xml:space="preserve"> характеризуется увеличением лимфатических узлов, селезенки, появлением обширных лимфоидных разрастаний в печени, почках, сычуге, коже и других органах. Множественная миелома </w:t>
      </w:r>
      <w:proofErr w:type="spellStart"/>
      <w:r w:rsidR="00AB7EC7" w:rsidRPr="00AB7EC7">
        <w:t>патоморфологически</w:t>
      </w:r>
      <w:proofErr w:type="spellEnd"/>
      <w:r w:rsidR="00AB7EC7" w:rsidRPr="00AB7EC7">
        <w:t xml:space="preserve"> проявляется </w:t>
      </w:r>
      <w:proofErr w:type="spellStart"/>
      <w:r w:rsidR="00AB7EC7" w:rsidRPr="00AB7EC7">
        <w:t>моноклональной</w:t>
      </w:r>
      <w:proofErr w:type="spellEnd"/>
      <w:r w:rsidR="00AB7EC7" w:rsidRPr="00AB7EC7">
        <w:t xml:space="preserve"> пролиферацией плазматических клеток, а также поражением костных тканей. Болезни тяжелых цепей являются особой формой </w:t>
      </w:r>
      <w:proofErr w:type="spellStart"/>
      <w:r w:rsidR="00AB7EC7" w:rsidRPr="00AB7EC7">
        <w:t>плазмоцитомы</w:t>
      </w:r>
      <w:proofErr w:type="spellEnd"/>
      <w:r w:rsidR="00AB7EC7" w:rsidRPr="00AB7EC7">
        <w:t xml:space="preserve">, когда плазматические клетки с нарушенной дифференцировкой не в состоянии продуцировать полные молекулы </w:t>
      </w:r>
      <w:proofErr w:type="gramStart"/>
      <w:r w:rsidR="00AB7EC7" w:rsidRPr="00AB7EC7">
        <w:t>иммуноглобулинов[</w:t>
      </w:r>
      <w:proofErr w:type="gramEnd"/>
      <w:r w:rsidR="00AB7EC7" w:rsidRPr="00AB7EC7">
        <w:t>2].</w:t>
      </w:r>
    </w:p>
    <w:p w:rsidR="00FC5D7A" w:rsidRDefault="00AB7EC7" w:rsidP="00FC5D7A">
      <w:pPr>
        <w:pStyle w:val="1"/>
        <w:numPr>
          <w:ilvl w:val="0"/>
          <w:numId w:val="0"/>
        </w:numPr>
        <w:spacing w:before="0" w:after="0"/>
        <w:ind w:left="1066"/>
      </w:pPr>
      <w:bookmarkStart w:id="7" w:name="_Toc153034662"/>
      <w:r w:rsidRPr="00AB7EC7">
        <w:t>Диагно</w:t>
      </w:r>
      <w:r w:rsidR="00FC5D7A">
        <w:t>з</w:t>
      </w:r>
      <w:bookmarkEnd w:id="7"/>
    </w:p>
    <w:p w:rsidR="00AB7EC7" w:rsidRPr="00AB7EC7" w:rsidRDefault="00FC5D7A" w:rsidP="00AB7EC7">
      <w:pPr>
        <w:pStyle w:val="a2"/>
      </w:pPr>
      <w:r>
        <w:t>У</w:t>
      </w:r>
      <w:r w:rsidR="00AB7EC7" w:rsidRPr="00AB7EC7">
        <w:t xml:space="preserve">станавливают на основании эпизоотологической ситуации, клинической картины, гематологических данных, </w:t>
      </w:r>
      <w:proofErr w:type="gramStart"/>
      <w:r w:rsidR="00AB7EC7" w:rsidRPr="00AB7EC7">
        <w:t>патолого-анатомической</w:t>
      </w:r>
      <w:proofErr w:type="gramEnd"/>
      <w:r w:rsidR="00AB7EC7" w:rsidRPr="00AB7EC7">
        <w:t xml:space="preserve"> картины. При дифференциальной диагностике следует исключить инфекционную анемию лошадей и эпизоотический </w:t>
      </w:r>
      <w:proofErr w:type="gramStart"/>
      <w:r w:rsidR="00AB7EC7" w:rsidRPr="00AB7EC7">
        <w:t>лимфангоит[</w:t>
      </w:r>
      <w:proofErr w:type="gramEnd"/>
      <w:r w:rsidR="00AB7EC7" w:rsidRPr="00AB7EC7">
        <w:t>1].</w:t>
      </w:r>
    </w:p>
    <w:p w:rsidR="00FC5D7A" w:rsidRDefault="00AB7EC7" w:rsidP="00FC5D7A">
      <w:pPr>
        <w:pStyle w:val="1"/>
        <w:numPr>
          <w:ilvl w:val="0"/>
          <w:numId w:val="0"/>
        </w:numPr>
        <w:spacing w:before="0" w:after="0"/>
        <w:ind w:left="1066"/>
      </w:pPr>
      <w:bookmarkStart w:id="8" w:name="_Toc153034663"/>
      <w:r w:rsidRPr="00AB7EC7">
        <w:t>Л</w:t>
      </w:r>
      <w:r w:rsidR="00FC5D7A">
        <w:t>ечение</w:t>
      </w:r>
      <w:bookmarkEnd w:id="8"/>
    </w:p>
    <w:p w:rsidR="00AB7EC7" w:rsidRPr="00AB7EC7" w:rsidRDefault="00FC5D7A" w:rsidP="00AB7EC7">
      <w:pPr>
        <w:pStyle w:val="a2"/>
      </w:pPr>
      <w:r>
        <w:t>Л</w:t>
      </w:r>
      <w:r w:rsidR="00AB7EC7" w:rsidRPr="00AB7EC7">
        <w:t xml:space="preserve">ечение не разработано. </w:t>
      </w:r>
      <w:r w:rsidR="00AB7EC7" w:rsidRPr="00AB7EC7">
        <w:rPr>
          <w:rStyle w:val="af4"/>
          <w:b w:val="0"/>
          <w:bCs w:val="0"/>
        </w:rPr>
        <w:t>Лечение</w:t>
      </w:r>
      <w:r w:rsidR="00AB7EC7" w:rsidRPr="00AB7EC7">
        <w:t xml:space="preserve"> малоэффективно и экономически нецелесообразно. С целью регуляции иммунного ответа и пролиферативных процессов, особенно ценным животным, применяют </w:t>
      </w:r>
      <w:proofErr w:type="spellStart"/>
      <w:r w:rsidR="00AB7EC7" w:rsidRPr="00AB7EC7">
        <w:t>иммунномодуляторы</w:t>
      </w:r>
      <w:proofErr w:type="spellEnd"/>
      <w:r w:rsidR="00AB7EC7" w:rsidRPr="00AB7EC7">
        <w:t xml:space="preserve"> и </w:t>
      </w:r>
      <w:proofErr w:type="spellStart"/>
      <w:r w:rsidR="00AB7EC7" w:rsidRPr="00AB7EC7">
        <w:t>иммунодепрессоры</w:t>
      </w:r>
      <w:proofErr w:type="spellEnd"/>
      <w:r w:rsidR="00AB7EC7" w:rsidRPr="00AB7EC7">
        <w:t xml:space="preserve"> с учетом диагноза и инструкций по их </w:t>
      </w:r>
      <w:proofErr w:type="gramStart"/>
      <w:r w:rsidR="00AB7EC7" w:rsidRPr="00AB7EC7">
        <w:t>применению[</w:t>
      </w:r>
      <w:proofErr w:type="gramEnd"/>
      <w:r w:rsidR="00AB7EC7" w:rsidRPr="00AB7EC7">
        <w:t>2].</w:t>
      </w:r>
    </w:p>
    <w:p w:rsidR="00FC5D7A" w:rsidRDefault="00AB7EC7" w:rsidP="00AB7EC7">
      <w:pPr>
        <w:pStyle w:val="a2"/>
      </w:pPr>
      <w:r w:rsidRPr="00AB7EC7">
        <w:t>Профилактика должна исходить из предпол</w:t>
      </w:r>
      <w:r w:rsidR="00FC5D7A">
        <w:t>ожения о вирусной этиологии лейкоза.</w:t>
      </w:r>
    </w:p>
    <w:p w:rsidR="00FC5D7A" w:rsidRDefault="00FC5D7A">
      <w:pPr>
        <w:spacing w:line="276" w:lineRule="auto"/>
        <w:ind w:left="0" w:right="0" w:firstLine="0"/>
        <w:jc w:val="left"/>
      </w:pPr>
      <w:r>
        <w:br w:type="page"/>
      </w:r>
    </w:p>
    <w:p w:rsidR="00AB7EC7" w:rsidRPr="00AB7EC7" w:rsidRDefault="00FC5D7A" w:rsidP="00FC5D7A">
      <w:pPr>
        <w:pStyle w:val="12"/>
      </w:pPr>
      <w:bookmarkStart w:id="9" w:name="_Toc153034664"/>
      <w:r>
        <w:lastRenderedPageBreak/>
        <w:t>Список использованной литературы</w:t>
      </w:r>
      <w:bookmarkEnd w:id="9"/>
    </w:p>
    <w:p w:rsidR="00AB7EC7" w:rsidRPr="00AB7EC7" w:rsidRDefault="00AB7EC7" w:rsidP="00FC5D7A">
      <w:pPr>
        <w:pStyle w:val="a2"/>
        <w:numPr>
          <w:ilvl w:val="0"/>
          <w:numId w:val="40"/>
        </w:numPr>
        <w:tabs>
          <w:tab w:val="left" w:pos="709"/>
        </w:tabs>
        <w:ind w:left="0" w:firstLine="426"/>
      </w:pPr>
      <w:proofErr w:type="spellStart"/>
      <w:r w:rsidRPr="00AB7EC7">
        <w:t>Стекольников</w:t>
      </w:r>
      <w:proofErr w:type="spellEnd"/>
      <w:r w:rsidRPr="00AB7EC7">
        <w:t xml:space="preserve"> А. А., Щербаков Г. Г., </w:t>
      </w:r>
      <w:proofErr w:type="gramStart"/>
      <w:r w:rsidRPr="00AB7EC7">
        <w:t>Яшин .</w:t>
      </w:r>
      <w:proofErr w:type="gramEnd"/>
      <w:r w:rsidRPr="00AB7EC7">
        <w:t xml:space="preserve">, А. В., Лошади. Биологические основы. Использование. Пороки. </w:t>
      </w:r>
      <w:proofErr w:type="gramStart"/>
      <w:r w:rsidRPr="00AB7EC7">
        <w:t>Болезни :</w:t>
      </w:r>
      <w:proofErr w:type="gramEnd"/>
      <w:r w:rsidRPr="00AB7EC7">
        <w:t xml:space="preserve"> учебник / [и др.] ; под общей редакцией А. А. </w:t>
      </w:r>
      <w:proofErr w:type="spellStart"/>
      <w:r w:rsidRPr="00AB7EC7">
        <w:t>Стекольникова</w:t>
      </w:r>
      <w:proofErr w:type="spellEnd"/>
      <w:r w:rsidRPr="00AB7EC7">
        <w:t>. — 2-е изд., стер. — Санкт-</w:t>
      </w:r>
      <w:proofErr w:type="gramStart"/>
      <w:r w:rsidRPr="00AB7EC7">
        <w:t>Петербург :</w:t>
      </w:r>
      <w:proofErr w:type="gramEnd"/>
      <w:r w:rsidRPr="00AB7EC7">
        <w:t xml:space="preserve"> Лань, 2022. — ISBN 978-5-8114-4170-9. — </w:t>
      </w:r>
      <w:proofErr w:type="gramStart"/>
      <w:r w:rsidRPr="00AB7EC7">
        <w:t>Текст :</w:t>
      </w:r>
      <w:proofErr w:type="gramEnd"/>
      <w:r w:rsidRPr="00AB7EC7">
        <w:t xml:space="preserve"> электронный // Лань : электронно-библиотечная система. — URL: https://e.lanbook.com/book/206408 (дата обращения: 09.12.2023). — Режим доступа: для </w:t>
      </w:r>
      <w:proofErr w:type="spellStart"/>
      <w:r w:rsidRPr="00AB7EC7">
        <w:t>авториз</w:t>
      </w:r>
      <w:proofErr w:type="spellEnd"/>
      <w:r w:rsidRPr="00AB7EC7">
        <w:t>. пользователей. — С. 310.).</w:t>
      </w:r>
    </w:p>
    <w:p w:rsidR="00AB7EC7" w:rsidRPr="00AB7EC7" w:rsidRDefault="00AB7EC7" w:rsidP="00FC5D7A">
      <w:pPr>
        <w:pStyle w:val="a2"/>
        <w:numPr>
          <w:ilvl w:val="0"/>
          <w:numId w:val="40"/>
        </w:numPr>
        <w:tabs>
          <w:tab w:val="left" w:pos="709"/>
        </w:tabs>
        <w:ind w:left="0" w:firstLine="426"/>
      </w:pPr>
      <w:r w:rsidRPr="00AB7EC7">
        <w:t xml:space="preserve">Щербаков Г. Г., Коробов А. В., Анохин Б. М.  Внутренние болезни животных. Профилактика и </w:t>
      </w:r>
      <w:proofErr w:type="gramStart"/>
      <w:r w:rsidRPr="00AB7EC7">
        <w:t>терапия :</w:t>
      </w:r>
      <w:proofErr w:type="gramEnd"/>
      <w:r w:rsidRPr="00AB7EC7">
        <w:t xml:space="preserve"> учебник [и др.] ; под редакцией Г. Г. Щербакова. — 5-е изд., </w:t>
      </w:r>
      <w:proofErr w:type="spellStart"/>
      <w:r w:rsidRPr="00AB7EC7">
        <w:t>испр</w:t>
      </w:r>
      <w:proofErr w:type="spellEnd"/>
      <w:r w:rsidRPr="00AB7EC7">
        <w:t>. и доп. — Санкт-</w:t>
      </w:r>
      <w:proofErr w:type="gramStart"/>
      <w:r w:rsidRPr="00AB7EC7">
        <w:t>Петербург :</w:t>
      </w:r>
      <w:proofErr w:type="gramEnd"/>
      <w:r w:rsidRPr="00AB7EC7">
        <w:t xml:space="preserve"> Лань, 2009. — 736 с. — ISBN 978-5-8114-0012-2. — </w:t>
      </w:r>
      <w:proofErr w:type="gramStart"/>
      <w:r w:rsidRPr="00AB7EC7">
        <w:t>Текст :</w:t>
      </w:r>
      <w:proofErr w:type="gramEnd"/>
      <w:r w:rsidRPr="00AB7EC7">
        <w:t xml:space="preserve"> электронный // Лань : электронно-библиотечная система. — URL: https://e.lanbook.com/book/201 (дата обращения: 09.12.2023). — Режим доступа: для </w:t>
      </w:r>
      <w:proofErr w:type="spellStart"/>
      <w:r w:rsidRPr="00AB7EC7">
        <w:t>авториз</w:t>
      </w:r>
      <w:proofErr w:type="spellEnd"/>
      <w:r w:rsidRPr="00AB7EC7">
        <w:t>. пользователей.</w:t>
      </w:r>
    </w:p>
    <w:p w:rsidR="008A53A2" w:rsidRDefault="008A53A2" w:rsidP="00B66399">
      <w:pPr>
        <w:pStyle w:val="a1"/>
        <w:spacing w:before="89"/>
        <w:ind w:left="853" w:right="855"/>
        <w:jc w:val="center"/>
      </w:pPr>
    </w:p>
    <w:sectPr w:rsidR="008A53A2" w:rsidSect="00D41B75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6A" w:rsidRDefault="00015B6A" w:rsidP="000E037C">
      <w:pPr>
        <w:spacing w:after="0" w:line="240" w:lineRule="auto"/>
      </w:pPr>
      <w:r>
        <w:separator/>
      </w:r>
    </w:p>
  </w:endnote>
  <w:endnote w:type="continuationSeparator" w:id="0">
    <w:p w:rsidR="00015B6A" w:rsidRDefault="00015B6A" w:rsidP="000E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44838"/>
      <w:docPartObj>
        <w:docPartGallery w:val="Page Numbers (Bottom of Page)"/>
        <w:docPartUnique/>
      </w:docPartObj>
    </w:sdtPr>
    <w:sdtEndPr/>
    <w:sdtContent>
      <w:p w:rsidR="00850740" w:rsidRDefault="000824BD" w:rsidP="008A53A2">
        <w:pPr>
          <w:pStyle w:val="ae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D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6A" w:rsidRDefault="00015B6A" w:rsidP="000E037C">
      <w:pPr>
        <w:spacing w:after="0" w:line="240" w:lineRule="auto"/>
      </w:pPr>
      <w:r>
        <w:separator/>
      </w:r>
    </w:p>
  </w:footnote>
  <w:footnote w:type="continuationSeparator" w:id="0">
    <w:p w:rsidR="00015B6A" w:rsidRDefault="00015B6A" w:rsidP="000E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8CC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646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AB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344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62B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A7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038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D24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0A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6E5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61FB6"/>
    <w:multiLevelType w:val="multilevel"/>
    <w:tmpl w:val="644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5E7301B"/>
    <w:multiLevelType w:val="hybridMultilevel"/>
    <w:tmpl w:val="9180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3194A"/>
    <w:multiLevelType w:val="hybridMultilevel"/>
    <w:tmpl w:val="BAD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E1DD8"/>
    <w:multiLevelType w:val="hybridMultilevel"/>
    <w:tmpl w:val="E7D0A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292677"/>
    <w:multiLevelType w:val="hybridMultilevel"/>
    <w:tmpl w:val="2DE8A858"/>
    <w:lvl w:ilvl="0" w:tplc="7CC2B45E">
      <w:start w:val="1"/>
      <w:numFmt w:val="decimal"/>
      <w:pStyle w:val="2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332B9D"/>
    <w:multiLevelType w:val="hybridMultilevel"/>
    <w:tmpl w:val="9DC87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DDD6B2E"/>
    <w:multiLevelType w:val="multilevel"/>
    <w:tmpl w:val="D64E0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6874CAD"/>
    <w:multiLevelType w:val="hybridMultilevel"/>
    <w:tmpl w:val="8F2C1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3A715E"/>
    <w:multiLevelType w:val="hybridMultilevel"/>
    <w:tmpl w:val="0068175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1B70918"/>
    <w:multiLevelType w:val="hybridMultilevel"/>
    <w:tmpl w:val="EFF88C38"/>
    <w:lvl w:ilvl="0" w:tplc="1F183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A10395"/>
    <w:multiLevelType w:val="hybridMultilevel"/>
    <w:tmpl w:val="68A05874"/>
    <w:lvl w:ilvl="0" w:tplc="80FC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F398A"/>
    <w:multiLevelType w:val="hybridMultilevel"/>
    <w:tmpl w:val="5226EBFC"/>
    <w:lvl w:ilvl="0" w:tplc="7B96A160">
      <w:start w:val="1"/>
      <w:numFmt w:val="decimal"/>
      <w:pStyle w:val="20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634A28"/>
    <w:multiLevelType w:val="hybridMultilevel"/>
    <w:tmpl w:val="50D6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81C45"/>
    <w:multiLevelType w:val="hybridMultilevel"/>
    <w:tmpl w:val="61F0BA3A"/>
    <w:lvl w:ilvl="0" w:tplc="F732FB54">
      <w:start w:val="1"/>
      <w:numFmt w:val="decimal"/>
      <w:pStyle w:val="1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617F"/>
    <w:multiLevelType w:val="hybridMultilevel"/>
    <w:tmpl w:val="3994583C"/>
    <w:lvl w:ilvl="0" w:tplc="ECE6DB4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6D6B3C"/>
    <w:multiLevelType w:val="hybridMultilevel"/>
    <w:tmpl w:val="F85C908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6" w15:restartNumberingAfterBreak="0">
    <w:nsid w:val="495B6C77"/>
    <w:multiLevelType w:val="hybridMultilevel"/>
    <w:tmpl w:val="0166EB32"/>
    <w:lvl w:ilvl="0" w:tplc="60D2E0C2">
      <w:start w:val="1"/>
      <w:numFmt w:val="decimal"/>
      <w:pStyle w:val="3"/>
      <w:lvlText w:val="1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B443573"/>
    <w:multiLevelType w:val="hybridMultilevel"/>
    <w:tmpl w:val="636A4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E7006E"/>
    <w:multiLevelType w:val="hybridMultilevel"/>
    <w:tmpl w:val="68C48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CE52EA"/>
    <w:multiLevelType w:val="hybridMultilevel"/>
    <w:tmpl w:val="682E3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F12E4E"/>
    <w:multiLevelType w:val="hybridMultilevel"/>
    <w:tmpl w:val="622EF9BA"/>
    <w:lvl w:ilvl="0" w:tplc="8C541E8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2E0C"/>
    <w:multiLevelType w:val="hybridMultilevel"/>
    <w:tmpl w:val="78444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C858B7"/>
    <w:multiLevelType w:val="hybridMultilevel"/>
    <w:tmpl w:val="AF1A2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1A7C05"/>
    <w:multiLevelType w:val="hybridMultilevel"/>
    <w:tmpl w:val="FE9C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F5C80"/>
    <w:multiLevelType w:val="hybridMultilevel"/>
    <w:tmpl w:val="C48A8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533977"/>
    <w:multiLevelType w:val="hybridMultilevel"/>
    <w:tmpl w:val="15BE8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EF2CA5"/>
    <w:multiLevelType w:val="hybridMultilevel"/>
    <w:tmpl w:val="A5809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D15A40"/>
    <w:multiLevelType w:val="hybridMultilevel"/>
    <w:tmpl w:val="3C225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0063C4"/>
    <w:multiLevelType w:val="hybridMultilevel"/>
    <w:tmpl w:val="8AA66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FA013C"/>
    <w:multiLevelType w:val="hybridMultilevel"/>
    <w:tmpl w:val="1ED07FB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3"/>
  </w:num>
  <w:num w:numId="13">
    <w:abstractNumId w:val="14"/>
  </w:num>
  <w:num w:numId="14">
    <w:abstractNumId w:val="26"/>
  </w:num>
  <w:num w:numId="15">
    <w:abstractNumId w:val="30"/>
  </w:num>
  <w:num w:numId="16">
    <w:abstractNumId w:val="33"/>
  </w:num>
  <w:num w:numId="17">
    <w:abstractNumId w:val="21"/>
  </w:num>
  <w:num w:numId="18">
    <w:abstractNumId w:val="20"/>
  </w:num>
  <w:num w:numId="19">
    <w:abstractNumId w:val="10"/>
  </w:num>
  <w:num w:numId="20">
    <w:abstractNumId w:val="16"/>
  </w:num>
  <w:num w:numId="21">
    <w:abstractNumId w:val="34"/>
  </w:num>
  <w:num w:numId="22">
    <w:abstractNumId w:val="36"/>
  </w:num>
  <w:num w:numId="23">
    <w:abstractNumId w:val="15"/>
  </w:num>
  <w:num w:numId="24">
    <w:abstractNumId w:val="2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1"/>
  </w:num>
  <w:num w:numId="28">
    <w:abstractNumId w:val="19"/>
  </w:num>
  <w:num w:numId="29">
    <w:abstractNumId w:val="32"/>
  </w:num>
  <w:num w:numId="30">
    <w:abstractNumId w:val="13"/>
  </w:num>
  <w:num w:numId="31">
    <w:abstractNumId w:val="38"/>
  </w:num>
  <w:num w:numId="32">
    <w:abstractNumId w:val="39"/>
  </w:num>
  <w:num w:numId="33">
    <w:abstractNumId w:val="18"/>
  </w:num>
  <w:num w:numId="34">
    <w:abstractNumId w:val="12"/>
  </w:num>
  <w:num w:numId="35">
    <w:abstractNumId w:val="17"/>
  </w:num>
  <w:num w:numId="36">
    <w:abstractNumId w:val="22"/>
  </w:num>
  <w:num w:numId="37">
    <w:abstractNumId w:val="29"/>
  </w:num>
  <w:num w:numId="38">
    <w:abstractNumId w:val="25"/>
  </w:num>
  <w:num w:numId="39">
    <w:abstractNumId w:val="1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C4"/>
    <w:rsid w:val="00006F0A"/>
    <w:rsid w:val="00015B6A"/>
    <w:rsid w:val="00026502"/>
    <w:rsid w:val="000370CB"/>
    <w:rsid w:val="000654C3"/>
    <w:rsid w:val="00077D0D"/>
    <w:rsid w:val="000824BD"/>
    <w:rsid w:val="00087147"/>
    <w:rsid w:val="000A5566"/>
    <w:rsid w:val="000C1961"/>
    <w:rsid w:val="000D2A84"/>
    <w:rsid w:val="000E037C"/>
    <w:rsid w:val="000E573E"/>
    <w:rsid w:val="000F510E"/>
    <w:rsid w:val="0015230A"/>
    <w:rsid w:val="001C51E1"/>
    <w:rsid w:val="001F5CC3"/>
    <w:rsid w:val="001F693E"/>
    <w:rsid w:val="002003F1"/>
    <w:rsid w:val="0021436E"/>
    <w:rsid w:val="00216E85"/>
    <w:rsid w:val="0022691D"/>
    <w:rsid w:val="00231F4C"/>
    <w:rsid w:val="00293743"/>
    <w:rsid w:val="00296158"/>
    <w:rsid w:val="002B138B"/>
    <w:rsid w:val="002B5A0A"/>
    <w:rsid w:val="002E5264"/>
    <w:rsid w:val="00345F6C"/>
    <w:rsid w:val="0037050B"/>
    <w:rsid w:val="003B1616"/>
    <w:rsid w:val="004068B4"/>
    <w:rsid w:val="0042560B"/>
    <w:rsid w:val="00427FC4"/>
    <w:rsid w:val="0047746F"/>
    <w:rsid w:val="004A79B5"/>
    <w:rsid w:val="00503F62"/>
    <w:rsid w:val="005B4B41"/>
    <w:rsid w:val="005F53BC"/>
    <w:rsid w:val="0061724D"/>
    <w:rsid w:val="006262D4"/>
    <w:rsid w:val="00647D64"/>
    <w:rsid w:val="00681382"/>
    <w:rsid w:val="006B6E6C"/>
    <w:rsid w:val="0070405E"/>
    <w:rsid w:val="00707220"/>
    <w:rsid w:val="00737C1C"/>
    <w:rsid w:val="0074574B"/>
    <w:rsid w:val="00745D49"/>
    <w:rsid w:val="00763B35"/>
    <w:rsid w:val="00797C17"/>
    <w:rsid w:val="007B52F6"/>
    <w:rsid w:val="007C0529"/>
    <w:rsid w:val="00810ED9"/>
    <w:rsid w:val="00817BA2"/>
    <w:rsid w:val="008242F8"/>
    <w:rsid w:val="00850740"/>
    <w:rsid w:val="008809B5"/>
    <w:rsid w:val="008A53A2"/>
    <w:rsid w:val="008D71FF"/>
    <w:rsid w:val="00915C72"/>
    <w:rsid w:val="009402AA"/>
    <w:rsid w:val="00940484"/>
    <w:rsid w:val="009450BD"/>
    <w:rsid w:val="0095655D"/>
    <w:rsid w:val="009B417F"/>
    <w:rsid w:val="00A038B3"/>
    <w:rsid w:val="00A34085"/>
    <w:rsid w:val="00A80AA4"/>
    <w:rsid w:val="00AB7EC7"/>
    <w:rsid w:val="00B46A34"/>
    <w:rsid w:val="00B553BD"/>
    <w:rsid w:val="00B66399"/>
    <w:rsid w:val="00B82FE1"/>
    <w:rsid w:val="00B83CE7"/>
    <w:rsid w:val="00BB6D54"/>
    <w:rsid w:val="00C007B9"/>
    <w:rsid w:val="00C048D1"/>
    <w:rsid w:val="00C16E7C"/>
    <w:rsid w:val="00C236AC"/>
    <w:rsid w:val="00C35E32"/>
    <w:rsid w:val="00C54643"/>
    <w:rsid w:val="00C6078C"/>
    <w:rsid w:val="00C774DD"/>
    <w:rsid w:val="00C94D77"/>
    <w:rsid w:val="00CC56B7"/>
    <w:rsid w:val="00D41B75"/>
    <w:rsid w:val="00E12A1B"/>
    <w:rsid w:val="00EA4225"/>
    <w:rsid w:val="00F23E50"/>
    <w:rsid w:val="00F364CD"/>
    <w:rsid w:val="00F5229C"/>
    <w:rsid w:val="00FC5D7A"/>
    <w:rsid w:val="00FE7ED6"/>
    <w:rsid w:val="00FF4150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4E07"/>
  <w15:docId w15:val="{46D15FAC-949E-409C-8886-3B97123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rsid w:val="00427FC4"/>
    <w:pPr>
      <w:spacing w:line="360" w:lineRule="auto"/>
      <w:ind w:left="1701" w:right="567"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427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2"/>
    <w:link w:val="21"/>
    <w:uiPriority w:val="9"/>
    <w:unhideWhenUsed/>
    <w:qFormat/>
    <w:rsid w:val="00707220"/>
    <w:pPr>
      <w:keepNext/>
      <w:keepLines/>
      <w:pageBreakBefore/>
      <w:numPr>
        <w:numId w:val="13"/>
      </w:numPr>
      <w:suppressAutoHyphens/>
      <w:spacing w:before="454" w:after="885" w:line="240" w:lineRule="auto"/>
      <w:outlineLvl w:val="1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6"/>
    </w:rPr>
  </w:style>
  <w:style w:type="paragraph" w:styleId="3">
    <w:name w:val="heading 3"/>
    <w:next w:val="a2"/>
    <w:link w:val="30"/>
    <w:uiPriority w:val="9"/>
    <w:unhideWhenUsed/>
    <w:qFormat/>
    <w:rsid w:val="00707220"/>
    <w:pPr>
      <w:keepNext/>
      <w:keepLines/>
      <w:numPr>
        <w:numId w:val="14"/>
      </w:numPr>
      <w:suppressAutoHyphens/>
      <w:spacing w:before="454" w:after="885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427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qFormat/>
    <w:rsid w:val="00B553BD"/>
    <w:pPr>
      <w:pageBreakBefore/>
      <w:suppressAutoHyphens/>
      <w:spacing w:after="851" w:line="240" w:lineRule="auto"/>
      <w:jc w:val="center"/>
      <w:outlineLvl w:val="0"/>
    </w:pPr>
    <w:rPr>
      <w:rFonts w:ascii="Times New Roman" w:hAnsi="Times New Roman"/>
      <w:b/>
      <w:caps/>
      <w:sz w:val="28"/>
    </w:rPr>
  </w:style>
  <w:style w:type="paragraph" w:styleId="a1">
    <w:name w:val="Body Text"/>
    <w:link w:val="a6"/>
    <w:uiPriority w:val="99"/>
    <w:unhideWhenUsed/>
    <w:qFormat/>
    <w:rsid w:val="00FE7ED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3"/>
    <w:link w:val="a1"/>
    <w:uiPriority w:val="99"/>
    <w:rsid w:val="00FE7ED6"/>
    <w:rPr>
      <w:rFonts w:ascii="Times New Roman" w:hAnsi="Times New Roman"/>
      <w:sz w:val="28"/>
    </w:rPr>
  </w:style>
  <w:style w:type="paragraph" w:customStyle="1" w:styleId="a2">
    <w:name w:val="основной текст"/>
    <w:link w:val="a7"/>
    <w:qFormat/>
    <w:rsid w:val="007C052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">
    <w:name w:val="заголовок 1"/>
    <w:next w:val="a2"/>
    <w:qFormat/>
    <w:rsid w:val="00F364CD"/>
    <w:pPr>
      <w:keepNext/>
      <w:keepLines/>
      <w:numPr>
        <w:numId w:val="12"/>
      </w:numPr>
      <w:suppressAutoHyphens/>
      <w:spacing w:before="454" w:after="851" w:line="240" w:lineRule="auto"/>
      <w:ind w:left="1066" w:hanging="357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a7">
    <w:name w:val="основной текст Знак"/>
    <w:basedOn w:val="a3"/>
    <w:link w:val="a2"/>
    <w:rsid w:val="007C0529"/>
    <w:rPr>
      <w:rFonts w:ascii="Times New Roman" w:hAnsi="Times New Roman"/>
      <w:sz w:val="28"/>
    </w:rPr>
  </w:style>
  <w:style w:type="character" w:customStyle="1" w:styleId="21">
    <w:name w:val="Заголовок 2 Знак"/>
    <w:basedOn w:val="a3"/>
    <w:link w:val="2"/>
    <w:uiPriority w:val="9"/>
    <w:rsid w:val="00707220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6"/>
    </w:rPr>
  </w:style>
  <w:style w:type="character" w:customStyle="1" w:styleId="30">
    <w:name w:val="Заголовок 3 Знак"/>
    <w:basedOn w:val="a3"/>
    <w:link w:val="3"/>
    <w:uiPriority w:val="9"/>
    <w:rsid w:val="00707220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customStyle="1" w:styleId="a">
    <w:name w:val="Название таблицы"/>
    <w:qFormat/>
    <w:rsid w:val="00F364CD"/>
    <w:pPr>
      <w:pageBreakBefore/>
      <w:numPr>
        <w:numId w:val="15"/>
      </w:numPr>
      <w:suppressAutoHyphens/>
      <w:spacing w:line="240" w:lineRule="auto"/>
    </w:pPr>
    <w:rPr>
      <w:rFonts w:ascii="Times New Roman" w:hAnsi="Times New Roman"/>
      <w:b/>
      <w:sz w:val="28"/>
    </w:rPr>
  </w:style>
  <w:style w:type="character" w:styleId="a8">
    <w:name w:val="Placeholder Text"/>
    <w:basedOn w:val="a3"/>
    <w:uiPriority w:val="99"/>
    <w:semiHidden/>
    <w:rsid w:val="00745D49"/>
    <w:rPr>
      <w:color w:val="808080"/>
    </w:rPr>
  </w:style>
  <w:style w:type="paragraph" w:styleId="a9">
    <w:name w:val="Balloon Text"/>
    <w:basedOn w:val="a0"/>
    <w:link w:val="aa"/>
    <w:uiPriority w:val="99"/>
    <w:semiHidden/>
    <w:unhideWhenUsed/>
    <w:rsid w:val="0074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745D49"/>
    <w:rPr>
      <w:rFonts w:ascii="Tahoma" w:hAnsi="Tahoma" w:cs="Tahoma"/>
      <w:sz w:val="16"/>
      <w:szCs w:val="16"/>
    </w:rPr>
  </w:style>
  <w:style w:type="paragraph" w:customStyle="1" w:styleId="20">
    <w:name w:val="заголовок 2"/>
    <w:next w:val="a2"/>
    <w:qFormat/>
    <w:rsid w:val="00940484"/>
    <w:pPr>
      <w:keepNext/>
      <w:keepLines/>
      <w:numPr>
        <w:numId w:val="17"/>
      </w:numPr>
      <w:suppressAutoHyphens/>
      <w:spacing w:before="454" w:after="851" w:line="240" w:lineRule="auto"/>
      <w:outlineLvl w:val="0"/>
    </w:pPr>
    <w:rPr>
      <w:rFonts w:ascii="Times New Roman" w:hAnsi="Times New Roman"/>
      <w:b/>
      <w:color w:val="000000" w:themeColor="text1"/>
      <w:sz w:val="28"/>
    </w:rPr>
  </w:style>
  <w:style w:type="character" w:styleId="ab">
    <w:name w:val="Hyperlink"/>
    <w:basedOn w:val="a3"/>
    <w:uiPriority w:val="99"/>
    <w:unhideWhenUsed/>
    <w:rsid w:val="000370CB"/>
    <w:rPr>
      <w:color w:val="0000FF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0E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0E037C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0E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0E037C"/>
    <w:rPr>
      <w:rFonts w:ascii="Times New Roman" w:hAnsi="Times New Roman"/>
      <w:sz w:val="28"/>
    </w:rPr>
  </w:style>
  <w:style w:type="paragraph" w:styleId="af0">
    <w:name w:val="Normal (Web)"/>
    <w:basedOn w:val="a0"/>
    <w:uiPriority w:val="99"/>
    <w:unhideWhenUsed/>
    <w:rsid w:val="000F510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List Paragraph"/>
    <w:basedOn w:val="a0"/>
    <w:link w:val="af2"/>
    <w:uiPriority w:val="34"/>
    <w:qFormat/>
    <w:rsid w:val="000F510E"/>
    <w:pPr>
      <w:spacing w:after="160" w:line="259" w:lineRule="auto"/>
      <w:ind w:left="720" w:right="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f2">
    <w:name w:val="Абзац списка Знак"/>
    <w:basedOn w:val="a3"/>
    <w:link w:val="af1"/>
    <w:uiPriority w:val="34"/>
    <w:rsid w:val="0022691D"/>
  </w:style>
  <w:style w:type="paragraph" w:styleId="af3">
    <w:name w:val="TOC Heading"/>
    <w:basedOn w:val="10"/>
    <w:next w:val="a0"/>
    <w:uiPriority w:val="39"/>
    <w:unhideWhenUsed/>
    <w:qFormat/>
    <w:rsid w:val="004A79B5"/>
    <w:pPr>
      <w:spacing w:line="276" w:lineRule="auto"/>
      <w:ind w:left="0" w:right="0" w:firstLine="0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4A79B5"/>
    <w:pPr>
      <w:spacing w:after="100"/>
      <w:ind w:left="0"/>
    </w:pPr>
  </w:style>
  <w:style w:type="character" w:styleId="af4">
    <w:name w:val="Strong"/>
    <w:basedOn w:val="a3"/>
    <w:uiPriority w:val="22"/>
    <w:qFormat/>
    <w:rsid w:val="00AB7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3D99-F177-44CA-9367-D6316905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Степан</cp:lastModifiedBy>
  <cp:revision>2</cp:revision>
  <dcterms:created xsi:type="dcterms:W3CDTF">2023-12-09T14:19:00Z</dcterms:created>
  <dcterms:modified xsi:type="dcterms:W3CDTF">2023-12-09T14:19:00Z</dcterms:modified>
</cp:coreProperties>
</file>