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B0" w:rsidRDefault="001D0C1B">
      <w:r>
        <w:rPr>
          <w:color w:val="000000"/>
          <w:sz w:val="27"/>
          <w:szCs w:val="27"/>
        </w:rPr>
        <w:t>Таблица. Иммунологическая диагностика вирусных болезней</w:t>
      </w:r>
    </w:p>
    <w:tbl>
      <w:tblPr>
        <w:tblStyle w:val="ab"/>
        <w:tblW w:w="0" w:type="auto"/>
        <w:tblInd w:w="-459" w:type="dxa"/>
        <w:tblLayout w:type="fixed"/>
        <w:tblLook w:val="04A0"/>
      </w:tblPr>
      <w:tblGrid>
        <w:gridCol w:w="3119"/>
        <w:gridCol w:w="1984"/>
        <w:gridCol w:w="2602"/>
        <w:gridCol w:w="1902"/>
        <w:gridCol w:w="2055"/>
        <w:gridCol w:w="2005"/>
        <w:gridCol w:w="1578"/>
      </w:tblGrid>
      <w:tr w:rsidR="00FB28E1" w:rsidTr="001D0C1B">
        <w:tc>
          <w:tcPr>
            <w:tcW w:w="3119" w:type="dxa"/>
            <w:vAlign w:val="center"/>
          </w:tcPr>
          <w:p w:rsidR="004073B0" w:rsidRDefault="004073B0" w:rsidP="001D0C1B">
            <w:pPr>
              <w:jc w:val="center"/>
            </w:pPr>
            <w:r>
              <w:t>Наименование реакции</w:t>
            </w:r>
          </w:p>
        </w:tc>
        <w:tc>
          <w:tcPr>
            <w:tcW w:w="1984" w:type="dxa"/>
            <w:vAlign w:val="center"/>
          </w:tcPr>
          <w:p w:rsidR="004073B0" w:rsidRDefault="004073B0" w:rsidP="001D0C1B">
            <w:pPr>
              <w:jc w:val="center"/>
            </w:pPr>
            <w:r>
              <w:t>Аббревиатура</w:t>
            </w:r>
          </w:p>
        </w:tc>
        <w:tc>
          <w:tcPr>
            <w:tcW w:w="2602" w:type="dxa"/>
            <w:vAlign w:val="center"/>
          </w:tcPr>
          <w:p w:rsidR="004073B0" w:rsidRDefault="004073B0" w:rsidP="001D0C1B">
            <w:pPr>
              <w:jc w:val="center"/>
            </w:pPr>
            <w:r>
              <w:t>Достоинства</w:t>
            </w:r>
          </w:p>
        </w:tc>
        <w:tc>
          <w:tcPr>
            <w:tcW w:w="1902" w:type="dxa"/>
            <w:vAlign w:val="center"/>
          </w:tcPr>
          <w:p w:rsidR="004073B0" w:rsidRDefault="004073B0" w:rsidP="001D0C1B">
            <w:pPr>
              <w:jc w:val="center"/>
            </w:pPr>
            <w:r>
              <w:t>Недостатки</w:t>
            </w:r>
          </w:p>
        </w:tc>
        <w:tc>
          <w:tcPr>
            <w:tcW w:w="2055" w:type="dxa"/>
            <w:vAlign w:val="center"/>
          </w:tcPr>
          <w:p w:rsidR="004073B0" w:rsidRDefault="004073B0" w:rsidP="001D0C1B">
            <w:pPr>
              <w:jc w:val="center"/>
            </w:pPr>
            <w:r>
              <w:t>Компоненты</w:t>
            </w:r>
          </w:p>
        </w:tc>
        <w:tc>
          <w:tcPr>
            <w:tcW w:w="2005" w:type="dxa"/>
            <w:vAlign w:val="center"/>
          </w:tcPr>
          <w:p w:rsidR="004073B0" w:rsidRDefault="004073B0" w:rsidP="001D0C1B">
            <w:pPr>
              <w:jc w:val="center"/>
            </w:pPr>
            <w:r>
              <w:t>Учет реакции</w:t>
            </w:r>
          </w:p>
        </w:tc>
        <w:tc>
          <w:tcPr>
            <w:tcW w:w="1578" w:type="dxa"/>
            <w:vAlign w:val="center"/>
          </w:tcPr>
          <w:p w:rsidR="004073B0" w:rsidRDefault="002F74A5" w:rsidP="001D0C1B">
            <w:pPr>
              <w:jc w:val="center"/>
            </w:pPr>
            <w:r>
              <w:t>Использование в вирусологии</w:t>
            </w:r>
          </w:p>
        </w:tc>
      </w:tr>
      <w:tr w:rsidR="00FB28E1" w:rsidTr="00FB28E1">
        <w:tc>
          <w:tcPr>
            <w:tcW w:w="3119" w:type="dxa"/>
            <w:vAlign w:val="center"/>
          </w:tcPr>
          <w:p w:rsidR="004073B0" w:rsidRDefault="004073B0" w:rsidP="00FB28E1">
            <w:pPr>
              <w:jc w:val="center"/>
            </w:pPr>
            <w:r>
              <w:t xml:space="preserve">Реакция </w:t>
            </w:r>
            <w:proofErr w:type="spellStart"/>
            <w:r>
              <w:t>иммунофлуоресценции</w:t>
            </w:r>
            <w:proofErr w:type="spellEnd"/>
          </w:p>
        </w:tc>
        <w:tc>
          <w:tcPr>
            <w:tcW w:w="1984" w:type="dxa"/>
            <w:vAlign w:val="center"/>
          </w:tcPr>
          <w:p w:rsidR="004073B0" w:rsidRDefault="004073B0" w:rsidP="00FB28E1">
            <w:pPr>
              <w:jc w:val="center"/>
            </w:pPr>
            <w:r>
              <w:t>РИФ</w:t>
            </w:r>
          </w:p>
        </w:tc>
        <w:tc>
          <w:tcPr>
            <w:tcW w:w="2602" w:type="dxa"/>
          </w:tcPr>
          <w:p w:rsidR="004073B0" w:rsidRDefault="00FB28E1">
            <w:proofErr w:type="spellStart"/>
            <w:r>
              <w:rPr>
                <w:color w:val="000000"/>
                <w:sz w:val="27"/>
                <w:szCs w:val="27"/>
              </w:rPr>
              <w:t>Иммунофлуоресцентный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метод является универсальным иммунохимическим методом, сочетающим в себе достаточно точный морфологический анализ со специфичностью и высокой разрешающей способностью иммунологических методов. Высокая чувствительность, простота техники постановки, требуется минимальное количество компонентов, в течении нескольких </w:t>
            </w:r>
            <w:r>
              <w:rPr>
                <w:color w:val="000000"/>
                <w:sz w:val="27"/>
                <w:szCs w:val="27"/>
              </w:rPr>
              <w:lastRenderedPageBreak/>
              <w:t>часов уже можно получить ответ.</w:t>
            </w:r>
          </w:p>
        </w:tc>
        <w:tc>
          <w:tcPr>
            <w:tcW w:w="1902" w:type="dxa"/>
          </w:tcPr>
          <w:p w:rsidR="004073B0" w:rsidRDefault="00FB28E1">
            <w:r>
              <w:rPr>
                <w:color w:val="000000"/>
                <w:sz w:val="27"/>
                <w:szCs w:val="27"/>
              </w:rPr>
              <w:lastRenderedPageBreak/>
              <w:t xml:space="preserve">К недостаткам данного вида диагностики можно отнести необходимую высокую квалификацию лабораторного работника, недостаточную точность диагностики, исследуемого материала должно быть достаточно много, заболевание должно находиться уже в активной </w:t>
            </w:r>
            <w:r>
              <w:rPr>
                <w:color w:val="000000"/>
                <w:sz w:val="27"/>
                <w:szCs w:val="27"/>
              </w:rPr>
              <w:lastRenderedPageBreak/>
              <w:t>фазе.</w:t>
            </w:r>
          </w:p>
        </w:tc>
        <w:tc>
          <w:tcPr>
            <w:tcW w:w="2055" w:type="dxa"/>
          </w:tcPr>
          <w:p w:rsidR="004073B0" w:rsidRDefault="00FB28E1">
            <w:r>
              <w:rPr>
                <w:color w:val="000000"/>
                <w:sz w:val="27"/>
                <w:szCs w:val="27"/>
              </w:rPr>
              <w:lastRenderedPageBreak/>
              <w:t>В качестве объекта исследования могут быть мазки - отпечатки, срезы органов и тканей, соскобы, гистологические срезы, препараты тканевых культур.</w:t>
            </w:r>
          </w:p>
        </w:tc>
        <w:tc>
          <w:tcPr>
            <w:tcW w:w="2005" w:type="dxa"/>
          </w:tcPr>
          <w:p w:rsidR="004073B0" w:rsidRDefault="00FB28E1">
            <w:r>
              <w:rPr>
                <w:color w:val="000000"/>
                <w:sz w:val="27"/>
                <w:szCs w:val="27"/>
              </w:rPr>
              <w:t xml:space="preserve">Результаты учитывают по интенсивности и специфичности свечения объекта в крестах, с учетом его локализации, по шкале флуоресценции: яркая сверкающая – «+++»; средняя – «++»; слабая – «+»; полное отсутствие – «-«. Признаком положительной РИФ является свечение, оцениваемое </w:t>
            </w:r>
            <w:r>
              <w:rPr>
                <w:color w:val="000000"/>
                <w:sz w:val="27"/>
                <w:szCs w:val="27"/>
              </w:rPr>
              <w:lastRenderedPageBreak/>
              <w:t>от «+++» до «++».</w:t>
            </w:r>
          </w:p>
        </w:tc>
        <w:tc>
          <w:tcPr>
            <w:tcW w:w="1578" w:type="dxa"/>
          </w:tcPr>
          <w:p w:rsidR="004073B0" w:rsidRDefault="00FB28E1">
            <w:r>
              <w:rPr>
                <w:color w:val="000000"/>
                <w:sz w:val="27"/>
                <w:szCs w:val="27"/>
              </w:rPr>
              <w:lastRenderedPageBreak/>
              <w:t>РИФ широко применяют в диагностике вирусных болезней животных.</w:t>
            </w:r>
          </w:p>
        </w:tc>
      </w:tr>
      <w:tr w:rsidR="0051291F" w:rsidTr="00FB28E1">
        <w:tc>
          <w:tcPr>
            <w:tcW w:w="3119" w:type="dxa"/>
            <w:vAlign w:val="center"/>
          </w:tcPr>
          <w:p w:rsidR="0051291F" w:rsidRDefault="0051291F" w:rsidP="00FB28E1">
            <w:pPr>
              <w:jc w:val="center"/>
            </w:pPr>
            <w:r>
              <w:lastRenderedPageBreak/>
              <w:t>Иммуноферментный анализ</w:t>
            </w:r>
          </w:p>
        </w:tc>
        <w:tc>
          <w:tcPr>
            <w:tcW w:w="1984" w:type="dxa"/>
            <w:vAlign w:val="center"/>
          </w:tcPr>
          <w:p w:rsidR="0051291F" w:rsidRDefault="0051291F" w:rsidP="00FB28E1">
            <w:pPr>
              <w:jc w:val="center"/>
            </w:pPr>
            <w:r>
              <w:t>ИФА</w:t>
            </w:r>
          </w:p>
        </w:tc>
        <w:tc>
          <w:tcPr>
            <w:tcW w:w="2602" w:type="dxa"/>
          </w:tcPr>
          <w:p w:rsidR="0051291F" w:rsidRPr="0051291F" w:rsidRDefault="0051291F" w:rsidP="0051291F">
            <w:pPr>
              <w:rPr>
                <w:sz w:val="27"/>
                <w:szCs w:val="27"/>
              </w:rPr>
            </w:pPr>
            <w:r w:rsidRPr="0051291F">
              <w:rPr>
                <w:sz w:val="27"/>
                <w:szCs w:val="27"/>
              </w:rPr>
              <w:t>Иммуноферментный анализ крови имеет преимущества:</w:t>
            </w:r>
          </w:p>
          <w:p w:rsidR="0051291F" w:rsidRPr="0051291F" w:rsidRDefault="0051291F" w:rsidP="0051291F">
            <w:pPr>
              <w:rPr>
                <w:sz w:val="27"/>
                <w:szCs w:val="27"/>
              </w:rPr>
            </w:pPr>
            <w:r w:rsidRPr="0051291F">
              <w:rPr>
                <w:sz w:val="27"/>
                <w:szCs w:val="27"/>
              </w:rPr>
              <w:t>антитела связываются лишь с определёнными антигенами, и ни с какими другими веществами, что придает специфичность диагностики до 95-98%-в,</w:t>
            </w:r>
          </w:p>
          <w:p w:rsidR="0051291F" w:rsidRPr="0051291F" w:rsidRDefault="0051291F" w:rsidP="0051291F">
            <w:pPr>
              <w:rPr>
                <w:sz w:val="27"/>
                <w:szCs w:val="27"/>
              </w:rPr>
            </w:pPr>
            <w:r w:rsidRPr="0051291F">
              <w:rPr>
                <w:sz w:val="27"/>
                <w:szCs w:val="27"/>
              </w:rPr>
              <w:t>Точность метода,</w:t>
            </w:r>
          </w:p>
          <w:p w:rsidR="0051291F" w:rsidRPr="0051291F" w:rsidRDefault="0051291F" w:rsidP="0051291F">
            <w:pPr>
              <w:rPr>
                <w:sz w:val="27"/>
                <w:szCs w:val="27"/>
              </w:rPr>
            </w:pPr>
            <w:r w:rsidRPr="0051291F">
              <w:rPr>
                <w:sz w:val="27"/>
                <w:szCs w:val="27"/>
              </w:rPr>
              <w:t>Отличная чувствительность позволяет найти необходимое вещество, даже при низкой концентрация в материале,</w:t>
            </w:r>
          </w:p>
          <w:p w:rsidR="0051291F" w:rsidRPr="0051291F" w:rsidRDefault="0051291F" w:rsidP="0051291F">
            <w:pPr>
              <w:rPr>
                <w:sz w:val="27"/>
                <w:szCs w:val="27"/>
              </w:rPr>
            </w:pPr>
            <w:r w:rsidRPr="0051291F">
              <w:rPr>
                <w:sz w:val="27"/>
                <w:szCs w:val="27"/>
              </w:rPr>
              <w:t>Повтор анализа для определения эффективности лечения и стадий заболевания,</w:t>
            </w:r>
          </w:p>
          <w:p w:rsidR="0051291F" w:rsidRPr="0051291F" w:rsidRDefault="0051291F" w:rsidP="0051291F">
            <w:pPr>
              <w:rPr>
                <w:sz w:val="27"/>
                <w:szCs w:val="27"/>
              </w:rPr>
            </w:pPr>
            <w:r w:rsidRPr="0051291F">
              <w:rPr>
                <w:sz w:val="27"/>
                <w:szCs w:val="27"/>
              </w:rPr>
              <w:lastRenderedPageBreak/>
              <w:t>относительно низкая цена,</w:t>
            </w:r>
          </w:p>
          <w:p w:rsidR="0051291F" w:rsidRPr="0051291F" w:rsidRDefault="0051291F" w:rsidP="0051291F">
            <w:pPr>
              <w:rPr>
                <w:sz w:val="27"/>
                <w:szCs w:val="27"/>
              </w:rPr>
            </w:pPr>
            <w:r w:rsidRPr="0051291F">
              <w:rPr>
                <w:sz w:val="27"/>
                <w:szCs w:val="27"/>
              </w:rPr>
              <w:t>скорость получения ответов,</w:t>
            </w:r>
          </w:p>
          <w:p w:rsidR="0051291F" w:rsidRPr="0051291F" w:rsidRDefault="0051291F" w:rsidP="0051291F">
            <w:pPr>
              <w:rPr>
                <w:sz w:val="27"/>
                <w:szCs w:val="27"/>
              </w:rPr>
            </w:pPr>
            <w:r w:rsidRPr="0051291F">
              <w:rPr>
                <w:sz w:val="27"/>
                <w:szCs w:val="27"/>
              </w:rPr>
              <w:t>простота методов регистрации,</w:t>
            </w:r>
          </w:p>
          <w:p w:rsidR="0051291F" w:rsidRPr="0051291F" w:rsidRDefault="0051291F" w:rsidP="0051291F">
            <w:pPr>
              <w:rPr>
                <w:sz w:val="27"/>
                <w:szCs w:val="27"/>
              </w:rPr>
            </w:pPr>
            <w:r w:rsidRPr="0051291F">
              <w:rPr>
                <w:sz w:val="27"/>
                <w:szCs w:val="27"/>
              </w:rPr>
              <w:t>возможность автоматизации проведения анализа сводит к минимуму влияние человека, что снижает вероятность ошибки.</w:t>
            </w:r>
          </w:p>
          <w:p w:rsidR="0051291F" w:rsidRPr="0051291F" w:rsidRDefault="0051291F" w:rsidP="0051291F">
            <w:pPr>
              <w:rPr>
                <w:sz w:val="27"/>
                <w:szCs w:val="27"/>
              </w:rPr>
            </w:pPr>
            <w:r w:rsidRPr="0051291F">
              <w:rPr>
                <w:sz w:val="27"/>
                <w:szCs w:val="27"/>
              </w:rPr>
              <w:t>способ ранней диагностики болезней при выявлении иммуноглобулинов определенного класса,</w:t>
            </w:r>
          </w:p>
          <w:p w:rsidR="0051291F" w:rsidRPr="0051291F" w:rsidRDefault="0051291F" w:rsidP="0051291F">
            <w:pPr>
              <w:rPr>
                <w:sz w:val="27"/>
                <w:szCs w:val="27"/>
              </w:rPr>
            </w:pPr>
            <w:r w:rsidRPr="0051291F">
              <w:rPr>
                <w:sz w:val="27"/>
                <w:szCs w:val="27"/>
              </w:rPr>
              <w:t>широкая доступность метода в медицинских учреждениях и частных лабораториях.</w:t>
            </w:r>
          </w:p>
          <w:p w:rsidR="0051291F" w:rsidRDefault="0051291F" w:rsidP="0051291F"/>
          <w:p w:rsidR="00017712" w:rsidRPr="0051291F" w:rsidRDefault="00017712" w:rsidP="0051291F"/>
        </w:tc>
        <w:tc>
          <w:tcPr>
            <w:tcW w:w="1902" w:type="dxa"/>
          </w:tcPr>
          <w:p w:rsidR="0051291F" w:rsidRDefault="0051291F" w:rsidP="0051291F">
            <w:pPr>
              <w:rPr>
                <w:sz w:val="27"/>
                <w:szCs w:val="27"/>
              </w:rPr>
            </w:pPr>
            <w:r w:rsidRPr="0051291F">
              <w:rPr>
                <w:sz w:val="27"/>
                <w:szCs w:val="27"/>
              </w:rPr>
              <w:lastRenderedPageBreak/>
              <w:t>Относительный недостаток ИФА заключается в том, что метод выявляет только иммунный ответ - антитела, но не находит самого возбудителя.</w:t>
            </w:r>
          </w:p>
          <w:p w:rsidR="0051291F" w:rsidRPr="0051291F" w:rsidRDefault="0051291F" w:rsidP="0051291F">
            <w:pPr>
              <w:rPr>
                <w:sz w:val="27"/>
                <w:szCs w:val="27"/>
              </w:rPr>
            </w:pPr>
            <w:r w:rsidRPr="0051291F">
              <w:rPr>
                <w:sz w:val="27"/>
                <w:szCs w:val="27"/>
              </w:rPr>
              <w:t xml:space="preserve">Иммуноферментный анализатор может выдать ложноотрицательные или ложноположительные ответы. </w:t>
            </w:r>
          </w:p>
        </w:tc>
        <w:tc>
          <w:tcPr>
            <w:tcW w:w="2055" w:type="dxa"/>
          </w:tcPr>
          <w:p w:rsidR="002F74A5" w:rsidRPr="002F74A5" w:rsidRDefault="002F74A5" w:rsidP="002F74A5">
            <w:pPr>
              <w:rPr>
                <w:sz w:val="27"/>
                <w:szCs w:val="27"/>
              </w:rPr>
            </w:pPr>
            <w:r>
              <w:t xml:space="preserve">1) </w:t>
            </w:r>
            <w:r w:rsidRPr="002F74A5">
              <w:t>исследуемый материал сыворотка или плазма крови;</w:t>
            </w:r>
          </w:p>
          <w:p w:rsidR="002F74A5" w:rsidRPr="002F74A5" w:rsidRDefault="002F74A5" w:rsidP="002F74A5">
            <w:r w:rsidRPr="002F74A5">
              <w:t xml:space="preserve">2) антитела к </w:t>
            </w:r>
            <w:proofErr w:type="spellStart"/>
            <w:r w:rsidRPr="002F74A5">
              <w:t>НВз</w:t>
            </w:r>
            <w:proofErr w:type="spellEnd"/>
            <w:r w:rsidRPr="002F74A5">
              <w:t xml:space="preserve"> Ад, адсорбированные на поверхности лунки </w:t>
            </w:r>
            <w:proofErr w:type="spellStart"/>
            <w:r w:rsidRPr="002F74A5">
              <w:t>полистиролового</w:t>
            </w:r>
            <w:proofErr w:type="spellEnd"/>
            <w:r w:rsidRPr="002F74A5">
              <w:t xml:space="preserve"> </w:t>
            </w:r>
            <w:proofErr w:type="spellStart"/>
            <w:r w:rsidRPr="002F74A5">
              <w:t>микропланшета</w:t>
            </w:r>
            <w:proofErr w:type="spellEnd"/>
            <w:r w:rsidRPr="002F74A5">
              <w:t>;</w:t>
            </w:r>
          </w:p>
          <w:p w:rsidR="002F74A5" w:rsidRPr="002F74A5" w:rsidRDefault="002F74A5" w:rsidP="002F74A5">
            <w:r w:rsidRPr="002F74A5">
              <w:t xml:space="preserve">3) </w:t>
            </w:r>
            <w:proofErr w:type="spellStart"/>
            <w:r w:rsidRPr="002F74A5">
              <w:t>коньюгат</w:t>
            </w:r>
            <w:proofErr w:type="spellEnd"/>
            <w:r w:rsidRPr="002F74A5">
              <w:t xml:space="preserve"> — мышиные </w:t>
            </w:r>
            <w:proofErr w:type="spellStart"/>
            <w:r w:rsidRPr="002F74A5">
              <w:t>моноклониальные</w:t>
            </w:r>
            <w:proofErr w:type="spellEnd"/>
            <w:r w:rsidRPr="002F74A5">
              <w:t xml:space="preserve"> антитела к </w:t>
            </w:r>
            <w:proofErr w:type="spellStart"/>
            <w:r w:rsidRPr="002F74A5">
              <w:t>НВз</w:t>
            </w:r>
            <w:proofErr w:type="spellEnd"/>
            <w:r w:rsidRPr="002F74A5">
              <w:t xml:space="preserve"> Ад, меченые </w:t>
            </w:r>
            <w:proofErr w:type="spellStart"/>
            <w:r w:rsidRPr="002F74A5">
              <w:t>пероксидазой</w:t>
            </w:r>
            <w:proofErr w:type="spellEnd"/>
            <w:r w:rsidRPr="002F74A5">
              <w:t>,</w:t>
            </w:r>
          </w:p>
          <w:p w:rsidR="002F74A5" w:rsidRPr="002F74A5" w:rsidRDefault="002F74A5" w:rsidP="002F74A5">
            <w:r w:rsidRPr="002F74A5">
              <w:t xml:space="preserve">4) </w:t>
            </w:r>
            <w:proofErr w:type="spellStart"/>
            <w:r w:rsidRPr="002F74A5">
              <w:t>ортофенилендиамин</w:t>
            </w:r>
            <w:proofErr w:type="spellEnd"/>
            <w:r w:rsidRPr="002F74A5">
              <w:t xml:space="preserve"> (ОФД) -субстрат;</w:t>
            </w:r>
          </w:p>
          <w:p w:rsidR="002F74A5" w:rsidRPr="002F74A5" w:rsidRDefault="002F74A5" w:rsidP="002F74A5">
            <w:r w:rsidRPr="002F74A5">
              <w:t>5) фосфатно-</w:t>
            </w:r>
            <w:r w:rsidRPr="002F74A5">
              <w:lastRenderedPageBreak/>
              <w:t>солевой буфер;</w:t>
            </w:r>
          </w:p>
          <w:p w:rsidR="002F74A5" w:rsidRPr="002F74A5" w:rsidRDefault="002F74A5" w:rsidP="002F74A5">
            <w:r w:rsidRPr="002F74A5">
              <w:t>6) контрольные сыворотки:</w:t>
            </w:r>
          </w:p>
          <w:p w:rsidR="002F74A5" w:rsidRPr="002F74A5" w:rsidRDefault="002F74A5" w:rsidP="002F74A5">
            <w:r w:rsidRPr="002F74A5">
              <w:t xml:space="preserve">— положительная (сыворотка с </w:t>
            </w:r>
            <w:proofErr w:type="spellStart"/>
            <w:r w:rsidRPr="002F74A5">
              <w:t>НВе</w:t>
            </w:r>
            <w:proofErr w:type="spellEnd"/>
            <w:r w:rsidRPr="002F74A5">
              <w:t xml:space="preserve"> Ад);</w:t>
            </w:r>
          </w:p>
          <w:p w:rsidR="002F74A5" w:rsidRPr="002F74A5" w:rsidRDefault="002F74A5" w:rsidP="002F74A5">
            <w:r w:rsidRPr="002F74A5">
              <w:t xml:space="preserve">— отрицательная (сыворотка без </w:t>
            </w:r>
            <w:proofErr w:type="spellStart"/>
            <w:r w:rsidRPr="002F74A5">
              <w:t>НВз</w:t>
            </w:r>
            <w:proofErr w:type="spellEnd"/>
            <w:r w:rsidRPr="002F74A5">
              <w:t xml:space="preserve"> Ад). </w:t>
            </w:r>
          </w:p>
          <w:p w:rsidR="002F74A5" w:rsidRPr="002F74A5" w:rsidRDefault="002F74A5" w:rsidP="002F74A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05" w:type="dxa"/>
          </w:tcPr>
          <w:p w:rsidR="0051291F" w:rsidRDefault="002F74A5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Учет результатов проводят на </w:t>
            </w:r>
            <w:proofErr w:type="spellStart"/>
            <w:r>
              <w:rPr>
                <w:color w:val="000000"/>
                <w:sz w:val="27"/>
                <w:szCs w:val="27"/>
              </w:rPr>
              <w:t>ИФА-ридере</w:t>
            </w:r>
            <w:proofErr w:type="spellEnd"/>
          </w:p>
        </w:tc>
        <w:tc>
          <w:tcPr>
            <w:tcW w:w="1578" w:type="dxa"/>
          </w:tcPr>
          <w:p w:rsidR="00231B6B" w:rsidRPr="00231B6B" w:rsidRDefault="00231B6B" w:rsidP="00231B6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Pr="00231B6B">
              <w:rPr>
                <w:sz w:val="27"/>
                <w:szCs w:val="27"/>
              </w:rPr>
              <w:t>ыявление специфических антител с помощью специальных биохимических реакций</w:t>
            </w:r>
          </w:p>
          <w:p w:rsidR="0051291F" w:rsidRPr="00231B6B" w:rsidRDefault="0051291F" w:rsidP="00231B6B">
            <w:pPr>
              <w:jc w:val="center"/>
              <w:rPr>
                <w:sz w:val="27"/>
                <w:szCs w:val="27"/>
              </w:rPr>
            </w:pPr>
          </w:p>
        </w:tc>
      </w:tr>
      <w:tr w:rsidR="009E12FA" w:rsidRPr="003B3673" w:rsidTr="00017712">
        <w:tc>
          <w:tcPr>
            <w:tcW w:w="3119" w:type="dxa"/>
            <w:vAlign w:val="center"/>
          </w:tcPr>
          <w:p w:rsidR="00017712" w:rsidRDefault="00017712" w:rsidP="00FB28E1">
            <w:pPr>
              <w:jc w:val="center"/>
            </w:pPr>
          </w:p>
          <w:p w:rsidR="009E12FA" w:rsidRDefault="009E12FA" w:rsidP="00FB28E1">
            <w:pPr>
              <w:jc w:val="center"/>
            </w:pPr>
            <w:r>
              <w:t>Реакция диффузной преципитации</w:t>
            </w:r>
          </w:p>
        </w:tc>
        <w:tc>
          <w:tcPr>
            <w:tcW w:w="1984" w:type="dxa"/>
            <w:vAlign w:val="center"/>
          </w:tcPr>
          <w:p w:rsidR="009E12FA" w:rsidRDefault="009E12FA" w:rsidP="00017712">
            <w:pPr>
              <w:jc w:val="center"/>
            </w:pPr>
            <w:r>
              <w:t>РДП</w:t>
            </w:r>
          </w:p>
        </w:tc>
        <w:tc>
          <w:tcPr>
            <w:tcW w:w="2602" w:type="dxa"/>
          </w:tcPr>
          <w:p w:rsidR="009E12FA" w:rsidRDefault="009E12FA" w:rsidP="009E12FA"/>
          <w:p w:rsidR="009E12FA" w:rsidRPr="003B3673" w:rsidRDefault="009E12FA" w:rsidP="009E12FA">
            <w:pPr>
              <w:rPr>
                <w:sz w:val="27"/>
                <w:szCs w:val="27"/>
              </w:rPr>
            </w:pPr>
            <w:r w:rsidRPr="003B3673">
              <w:rPr>
                <w:sz w:val="27"/>
                <w:szCs w:val="27"/>
              </w:rPr>
              <w:t>Простота техники постановки; быстрота получения ответа; не требует стерильной работы, особой чистоты компонентов; возможность документирования результата путем фотографирования</w:t>
            </w:r>
          </w:p>
        </w:tc>
        <w:tc>
          <w:tcPr>
            <w:tcW w:w="1902" w:type="dxa"/>
          </w:tcPr>
          <w:p w:rsidR="009E12FA" w:rsidRDefault="009E12FA" w:rsidP="0051291F">
            <w:pPr>
              <w:rPr>
                <w:sz w:val="27"/>
                <w:szCs w:val="27"/>
              </w:rPr>
            </w:pPr>
          </w:p>
          <w:p w:rsidR="009E12FA" w:rsidRPr="0051291F" w:rsidRDefault="009E12FA" w:rsidP="0051291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Низкая чувствительность</w:t>
            </w:r>
          </w:p>
        </w:tc>
        <w:tc>
          <w:tcPr>
            <w:tcW w:w="2055" w:type="dxa"/>
          </w:tcPr>
          <w:p w:rsidR="009E12FA" w:rsidRPr="003B3673" w:rsidRDefault="009E12FA" w:rsidP="003B3673">
            <w:pPr>
              <w:rPr>
                <w:sz w:val="27"/>
                <w:szCs w:val="27"/>
              </w:rPr>
            </w:pPr>
          </w:p>
          <w:p w:rsidR="00B30527" w:rsidRDefault="00B30527" w:rsidP="00215A67">
            <w:pPr>
              <w:rPr>
                <w:sz w:val="27"/>
                <w:szCs w:val="27"/>
              </w:rPr>
            </w:pPr>
            <w:r w:rsidRPr="003B3673">
              <w:rPr>
                <w:sz w:val="27"/>
                <w:szCs w:val="27"/>
              </w:rPr>
              <w:t>В качестве объекта исследования используют</w:t>
            </w:r>
            <w:r w:rsidR="008306B6">
              <w:rPr>
                <w:sz w:val="27"/>
                <w:szCs w:val="27"/>
              </w:rPr>
              <w:t>:</w:t>
            </w:r>
            <w:r w:rsidRPr="003B3673">
              <w:rPr>
                <w:sz w:val="27"/>
                <w:szCs w:val="27"/>
              </w:rPr>
              <w:t xml:space="preserve"> </w:t>
            </w:r>
            <w:r w:rsidR="008306B6">
              <w:rPr>
                <w:sz w:val="27"/>
                <w:szCs w:val="27"/>
              </w:rPr>
              <w:t>сыворотка крови положительная, сыворотка крови отрицательная, антиген положительный, антиген отрицательный</w:t>
            </w:r>
          </w:p>
          <w:p w:rsidR="00215A67" w:rsidRDefault="00215A67" w:rsidP="003B3673">
            <w:pPr>
              <w:rPr>
                <w:sz w:val="27"/>
                <w:szCs w:val="27"/>
              </w:rPr>
            </w:pPr>
          </w:p>
          <w:p w:rsidR="00215A67" w:rsidRPr="003B3673" w:rsidRDefault="00215A67" w:rsidP="003B3673">
            <w:pPr>
              <w:rPr>
                <w:sz w:val="27"/>
                <w:szCs w:val="27"/>
              </w:rPr>
            </w:pPr>
          </w:p>
        </w:tc>
        <w:tc>
          <w:tcPr>
            <w:tcW w:w="2005" w:type="dxa"/>
          </w:tcPr>
          <w:p w:rsidR="009E12FA" w:rsidRDefault="009E12FA">
            <w:pPr>
              <w:rPr>
                <w:color w:val="000000"/>
                <w:sz w:val="27"/>
                <w:szCs w:val="27"/>
              </w:rPr>
            </w:pPr>
          </w:p>
          <w:p w:rsidR="008707B5" w:rsidRPr="003B3673" w:rsidRDefault="008707B5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Учет результата проводят визуально по линии преципитации</w:t>
            </w:r>
          </w:p>
        </w:tc>
        <w:tc>
          <w:tcPr>
            <w:tcW w:w="1578" w:type="dxa"/>
          </w:tcPr>
          <w:p w:rsidR="009E12FA" w:rsidRDefault="009E12FA" w:rsidP="00231B6B">
            <w:pPr>
              <w:rPr>
                <w:sz w:val="27"/>
                <w:szCs w:val="27"/>
              </w:rPr>
            </w:pPr>
          </w:p>
          <w:p w:rsidR="008707B5" w:rsidRPr="008707B5" w:rsidRDefault="008707B5" w:rsidP="008707B5">
            <w:r>
              <w:rPr>
                <w:sz w:val="27"/>
                <w:szCs w:val="27"/>
              </w:rPr>
              <w:t>Позволяет</w:t>
            </w:r>
            <w:r w:rsidR="00017712">
              <w:rPr>
                <w:sz w:val="27"/>
                <w:szCs w:val="27"/>
              </w:rPr>
              <w:t xml:space="preserve"> </w:t>
            </w:r>
            <w:r w:rsidRPr="008707B5">
              <w:t>обнаружить и идентифицировать неизвестный выделенный вирус путем исследования его с различными заведомо известными сыворотками (антителами)</w:t>
            </w:r>
          </w:p>
          <w:p w:rsidR="008707B5" w:rsidRPr="008306B6" w:rsidRDefault="008707B5" w:rsidP="008306B6"/>
        </w:tc>
      </w:tr>
      <w:tr w:rsidR="00215A67" w:rsidRPr="003B3673" w:rsidTr="00017712">
        <w:tc>
          <w:tcPr>
            <w:tcW w:w="3119" w:type="dxa"/>
            <w:vAlign w:val="center"/>
          </w:tcPr>
          <w:p w:rsidR="00215A67" w:rsidRPr="00215A67" w:rsidRDefault="00215A67" w:rsidP="00215A67">
            <w:r w:rsidRPr="00215A67">
              <w:t xml:space="preserve">Реакция торможения </w:t>
            </w:r>
            <w:proofErr w:type="spellStart"/>
            <w:r w:rsidRPr="00215A67">
              <w:t>гемагглюитинации</w:t>
            </w:r>
            <w:proofErr w:type="spellEnd"/>
          </w:p>
        </w:tc>
        <w:tc>
          <w:tcPr>
            <w:tcW w:w="1984" w:type="dxa"/>
            <w:vAlign w:val="center"/>
          </w:tcPr>
          <w:p w:rsidR="00215A67" w:rsidRDefault="00215A67" w:rsidP="00017712">
            <w:pPr>
              <w:jc w:val="center"/>
            </w:pPr>
            <w:r>
              <w:t>РТГА</w:t>
            </w:r>
          </w:p>
        </w:tc>
        <w:tc>
          <w:tcPr>
            <w:tcW w:w="2602" w:type="dxa"/>
          </w:tcPr>
          <w:p w:rsidR="00215A67" w:rsidRPr="00215A67" w:rsidRDefault="00215A67" w:rsidP="00215A67">
            <w:r w:rsidRPr="00215A67">
              <w:t xml:space="preserve">Достоинствами РТГА являются: простота техники, быстрота, не требуется стерильной работы, специфичность, </w:t>
            </w:r>
            <w:r w:rsidRPr="00215A67">
              <w:lastRenderedPageBreak/>
              <w:t>дешевизна.</w:t>
            </w:r>
          </w:p>
        </w:tc>
        <w:tc>
          <w:tcPr>
            <w:tcW w:w="1902" w:type="dxa"/>
          </w:tcPr>
          <w:p w:rsidR="00215A67" w:rsidRPr="00215A67" w:rsidRDefault="00215A67" w:rsidP="00215A67">
            <w:r w:rsidRPr="00215A67">
              <w:lastRenderedPageBreak/>
              <w:t xml:space="preserve">Реакция возможна только с </w:t>
            </w:r>
            <w:proofErr w:type="spellStart"/>
            <w:r w:rsidRPr="00215A67">
              <w:t>гемагглютинирующими</w:t>
            </w:r>
            <w:proofErr w:type="spellEnd"/>
            <w:r w:rsidRPr="00215A67">
              <w:t xml:space="preserve"> вирусами.</w:t>
            </w:r>
          </w:p>
        </w:tc>
        <w:tc>
          <w:tcPr>
            <w:tcW w:w="2055" w:type="dxa"/>
          </w:tcPr>
          <w:p w:rsidR="00215A67" w:rsidRPr="003B3673" w:rsidRDefault="00215A67" w:rsidP="003B36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Вакцинный штамм вируса </w:t>
            </w:r>
            <w:proofErr w:type="spellStart"/>
            <w:r>
              <w:rPr>
                <w:sz w:val="27"/>
                <w:szCs w:val="27"/>
              </w:rPr>
              <w:t>ньюкаслской</w:t>
            </w:r>
            <w:proofErr w:type="spellEnd"/>
            <w:r>
              <w:rPr>
                <w:sz w:val="27"/>
                <w:szCs w:val="27"/>
              </w:rPr>
              <w:t xml:space="preserve"> болезни в рабочем титре 4 ГАЕ; сыворотка </w:t>
            </w:r>
            <w:r>
              <w:rPr>
                <w:sz w:val="27"/>
                <w:szCs w:val="27"/>
              </w:rPr>
              <w:lastRenderedPageBreak/>
              <w:t xml:space="preserve">крови кролика, иммунизированного вакцинными штаммом вируса </w:t>
            </w:r>
            <w:proofErr w:type="spellStart"/>
            <w:r>
              <w:rPr>
                <w:sz w:val="27"/>
                <w:szCs w:val="27"/>
              </w:rPr>
              <w:t>ньюкаслской</w:t>
            </w:r>
            <w:proofErr w:type="spellEnd"/>
            <w:r>
              <w:rPr>
                <w:sz w:val="27"/>
                <w:szCs w:val="27"/>
              </w:rPr>
              <w:t xml:space="preserve"> болезни; 1,0%-ная суспензия эритроцитов петуха.</w:t>
            </w:r>
          </w:p>
        </w:tc>
        <w:tc>
          <w:tcPr>
            <w:tcW w:w="2005" w:type="dxa"/>
          </w:tcPr>
          <w:p w:rsidR="00215A67" w:rsidRPr="00215A67" w:rsidRDefault="00215A67" w:rsidP="00215A67">
            <w:r w:rsidRPr="00215A67">
              <w:lastRenderedPageBreak/>
              <w:t>Учет реакции проводят после оседания эритроцитов в контроле.</w:t>
            </w:r>
          </w:p>
          <w:p w:rsidR="00215A67" w:rsidRPr="00215A67" w:rsidRDefault="00215A67" w:rsidP="00215A67">
            <w:r w:rsidRPr="00215A67">
              <w:t xml:space="preserve">При </w:t>
            </w:r>
            <w:r w:rsidRPr="00215A67">
              <w:lastRenderedPageBreak/>
              <w:t>правильном определении рабочей дозы в первой, второй лунках должна быть полная агглютинация («зонтик»), в третьей - частичная, в четвертой - отсутствие агглютинации («пуговка»).</w:t>
            </w:r>
          </w:p>
          <w:p w:rsidR="00215A67" w:rsidRDefault="00215A67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578" w:type="dxa"/>
          </w:tcPr>
          <w:p w:rsidR="00215A67" w:rsidRPr="00215A67" w:rsidRDefault="00215A67" w:rsidP="00215A67">
            <w:r>
              <w:lastRenderedPageBreak/>
              <w:t>Р</w:t>
            </w:r>
            <w:r w:rsidRPr="00215A67">
              <w:t xml:space="preserve">ТГА позволяет решать следующие задачи: определять титр </w:t>
            </w:r>
            <w:r w:rsidRPr="00215A67">
              <w:lastRenderedPageBreak/>
              <w:t xml:space="preserve">антител к </w:t>
            </w:r>
            <w:proofErr w:type="spellStart"/>
            <w:r w:rsidRPr="00215A67">
              <w:t>гемагглютинирующему</w:t>
            </w:r>
            <w:proofErr w:type="spellEnd"/>
            <w:r w:rsidRPr="00215A67">
              <w:t xml:space="preserve"> вирусу в сыворотке; идентифицировать неизвестный </w:t>
            </w:r>
            <w:proofErr w:type="spellStart"/>
            <w:r w:rsidRPr="00215A67">
              <w:t>гемагглютинирующий</w:t>
            </w:r>
            <w:proofErr w:type="spellEnd"/>
            <w:r w:rsidRPr="00215A67">
              <w:t xml:space="preserve"> вирус по известным сывороткам; установить степень </w:t>
            </w:r>
            <w:proofErr w:type="spellStart"/>
            <w:r w:rsidRPr="00215A67">
              <w:t>антигенного</w:t>
            </w:r>
            <w:proofErr w:type="spellEnd"/>
            <w:r w:rsidRPr="00215A67">
              <w:t xml:space="preserve"> родства двух вирусов.</w:t>
            </w:r>
          </w:p>
        </w:tc>
      </w:tr>
      <w:tr w:rsidR="00965C83" w:rsidRPr="003B3673" w:rsidTr="00026E6F">
        <w:trPr>
          <w:trHeight w:val="2546"/>
        </w:trPr>
        <w:tc>
          <w:tcPr>
            <w:tcW w:w="3119" w:type="dxa"/>
            <w:vAlign w:val="center"/>
          </w:tcPr>
          <w:p w:rsidR="00965C83" w:rsidRPr="00215A67" w:rsidRDefault="00965C83" w:rsidP="00215A67">
            <w:r>
              <w:lastRenderedPageBreak/>
              <w:t>Реакция нейтрализации</w:t>
            </w:r>
          </w:p>
        </w:tc>
        <w:tc>
          <w:tcPr>
            <w:tcW w:w="1984" w:type="dxa"/>
            <w:vAlign w:val="center"/>
          </w:tcPr>
          <w:p w:rsidR="00965C83" w:rsidRDefault="00965C83" w:rsidP="00017712">
            <w:pPr>
              <w:jc w:val="center"/>
            </w:pPr>
            <w:r>
              <w:t>РН</w:t>
            </w:r>
          </w:p>
        </w:tc>
        <w:tc>
          <w:tcPr>
            <w:tcW w:w="2602" w:type="dxa"/>
          </w:tcPr>
          <w:p w:rsidR="00965C83" w:rsidRPr="00215A67" w:rsidRDefault="00965C83" w:rsidP="00215A67">
            <w:r>
              <w:t xml:space="preserve">Достоинства РН заключаются в ее универсальности и высокой специфичности </w:t>
            </w:r>
          </w:p>
        </w:tc>
        <w:tc>
          <w:tcPr>
            <w:tcW w:w="1902" w:type="dxa"/>
          </w:tcPr>
          <w:p w:rsidR="00965C83" w:rsidRPr="00215A67" w:rsidRDefault="00965C83" w:rsidP="00215A67">
            <w:r>
              <w:t>К недостаткам РН относятся высокая трудоемкость, необходимость строго соблюдать стерильность материалов, инструментов, высокая стоимость живых биологических систем и относительная длительность биологической пробы.</w:t>
            </w:r>
          </w:p>
        </w:tc>
        <w:tc>
          <w:tcPr>
            <w:tcW w:w="2055" w:type="dxa"/>
          </w:tcPr>
          <w:p w:rsidR="00026E6F" w:rsidRPr="00272A80" w:rsidRDefault="00272A80" w:rsidP="00272A80">
            <w:r w:rsidRPr="00272A80">
              <w:t>1. Исследуемый вирус (при идентификации выделенною вируса) или исследуемая сыворотка (при серодиагностике инфекции).</w:t>
            </w:r>
            <w:r w:rsidRPr="00272A80">
              <w:br/>
              <w:t xml:space="preserve">2. Диагностическая (группе-, </w:t>
            </w:r>
            <w:proofErr w:type="spellStart"/>
            <w:r w:rsidRPr="00272A80">
              <w:t>видо</w:t>
            </w:r>
            <w:proofErr w:type="spellEnd"/>
            <w:r w:rsidRPr="00272A80">
              <w:t xml:space="preserve">-, типоспецифическая) сыворотка (при идентификации вируса) или известный вирус — </w:t>
            </w:r>
            <w:proofErr w:type="spellStart"/>
            <w:r w:rsidRPr="00272A80">
              <w:t>диагностикум</w:t>
            </w:r>
            <w:proofErr w:type="spellEnd"/>
            <w:r w:rsidRPr="00272A80">
              <w:t xml:space="preserve"> (при серодиагностике).</w:t>
            </w:r>
            <w:r w:rsidRPr="00272A80">
              <w:br/>
              <w:t xml:space="preserve">3. </w:t>
            </w:r>
            <w:r w:rsidRPr="00272A80">
              <w:lastRenderedPageBreak/>
              <w:t>Индикаторный объект: животные, куриные эмбрионы, культуры тканей или эритроциты.</w:t>
            </w:r>
          </w:p>
        </w:tc>
        <w:tc>
          <w:tcPr>
            <w:tcW w:w="2005" w:type="dxa"/>
          </w:tcPr>
          <w:p w:rsidR="00965C83" w:rsidRPr="00272A80" w:rsidRDefault="00272A80" w:rsidP="00272A80">
            <w:r w:rsidRPr="00272A80">
              <w:lastRenderedPageBreak/>
              <w:t> Учёт реакции проводят путём сопоставления количества поги</w:t>
            </w:r>
            <w:r>
              <w:t>бших опытных и контрольных биоматериалов</w:t>
            </w:r>
            <w:r w:rsidRPr="00272A80">
              <w:t xml:space="preserve"> от соответствующего разведения вируса</w:t>
            </w:r>
          </w:p>
        </w:tc>
        <w:tc>
          <w:tcPr>
            <w:tcW w:w="1578" w:type="dxa"/>
          </w:tcPr>
          <w:p w:rsidR="00965C83" w:rsidRPr="00272A80" w:rsidRDefault="00272A80" w:rsidP="00272A80">
            <w:r w:rsidRPr="00272A80">
              <w:t>Особенно широкое применение они получили в вирусологической практике как для серологической диагностики вирусных заболеваний, так и для идентификации вирусов.</w:t>
            </w:r>
          </w:p>
        </w:tc>
      </w:tr>
      <w:tr w:rsidR="00026E6F" w:rsidRPr="003B3673" w:rsidTr="00026E6F">
        <w:trPr>
          <w:trHeight w:val="2546"/>
        </w:trPr>
        <w:tc>
          <w:tcPr>
            <w:tcW w:w="3119" w:type="dxa"/>
            <w:vAlign w:val="center"/>
          </w:tcPr>
          <w:p w:rsidR="00026E6F" w:rsidRDefault="00026E6F" w:rsidP="00026E6F">
            <w:pPr>
              <w:jc w:val="center"/>
            </w:pPr>
            <w:proofErr w:type="spellStart"/>
            <w:r>
              <w:rPr>
                <w:sz w:val="26"/>
                <w:szCs w:val="26"/>
              </w:rPr>
              <w:lastRenderedPageBreak/>
              <w:t>Полимеразная</w:t>
            </w:r>
            <w:proofErr w:type="spellEnd"/>
            <w:r>
              <w:rPr>
                <w:sz w:val="26"/>
                <w:szCs w:val="26"/>
              </w:rPr>
              <w:t xml:space="preserve"> цепная реакция</w:t>
            </w:r>
          </w:p>
        </w:tc>
        <w:tc>
          <w:tcPr>
            <w:tcW w:w="1984" w:type="dxa"/>
            <w:vAlign w:val="center"/>
          </w:tcPr>
          <w:p w:rsidR="00026E6F" w:rsidRDefault="00026E6F" w:rsidP="00017712">
            <w:pPr>
              <w:jc w:val="center"/>
            </w:pPr>
            <w:r>
              <w:rPr>
                <w:sz w:val="26"/>
                <w:szCs w:val="26"/>
              </w:rPr>
              <w:t>ПЦР</w:t>
            </w:r>
          </w:p>
        </w:tc>
        <w:tc>
          <w:tcPr>
            <w:tcW w:w="2602" w:type="dxa"/>
          </w:tcPr>
          <w:p w:rsidR="00026E6F" w:rsidRDefault="00026E6F" w:rsidP="00026E6F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FC6D36">
              <w:rPr>
                <w:sz w:val="24"/>
                <w:szCs w:val="24"/>
              </w:rPr>
              <w:t>Прямое определение наличия возбудителей</w:t>
            </w:r>
            <w:r>
              <w:rPr>
                <w:sz w:val="24"/>
                <w:szCs w:val="24"/>
              </w:rPr>
              <w:t>;</w:t>
            </w:r>
          </w:p>
          <w:p w:rsidR="00026E6F" w:rsidRDefault="00026E6F" w:rsidP="00026E6F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E02C13">
              <w:rPr>
                <w:sz w:val="24"/>
                <w:szCs w:val="24"/>
              </w:rPr>
              <w:t>Высокая специфичность</w:t>
            </w:r>
            <w:r>
              <w:rPr>
                <w:sz w:val="24"/>
                <w:szCs w:val="24"/>
              </w:rPr>
              <w:t>;</w:t>
            </w:r>
          </w:p>
          <w:p w:rsidR="00026E6F" w:rsidRDefault="00026E6F" w:rsidP="00026E6F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E02C13">
              <w:rPr>
                <w:sz w:val="24"/>
                <w:szCs w:val="24"/>
              </w:rPr>
              <w:t>Высокая чувствительность</w:t>
            </w:r>
            <w:r>
              <w:rPr>
                <w:sz w:val="24"/>
                <w:szCs w:val="24"/>
              </w:rPr>
              <w:t>;</w:t>
            </w:r>
          </w:p>
          <w:p w:rsidR="00026E6F" w:rsidRDefault="00026E6F" w:rsidP="00026E6F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E02C13">
              <w:rPr>
                <w:sz w:val="24"/>
                <w:szCs w:val="24"/>
              </w:rPr>
              <w:t>Универсальность процедуры выявления различных возбудителей</w:t>
            </w:r>
            <w:r>
              <w:rPr>
                <w:sz w:val="24"/>
                <w:szCs w:val="24"/>
              </w:rPr>
              <w:t>;</w:t>
            </w:r>
          </w:p>
          <w:p w:rsidR="00026E6F" w:rsidRDefault="00026E6F" w:rsidP="00026E6F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E02C13">
              <w:rPr>
                <w:sz w:val="24"/>
                <w:szCs w:val="24"/>
              </w:rPr>
              <w:t>Высокая скорость получения результата анализа</w:t>
            </w:r>
            <w:r>
              <w:rPr>
                <w:sz w:val="24"/>
                <w:szCs w:val="24"/>
              </w:rPr>
              <w:t>;</w:t>
            </w:r>
          </w:p>
          <w:p w:rsidR="00026E6F" w:rsidRDefault="00026E6F" w:rsidP="00026E6F">
            <w:r w:rsidRPr="00E02C13">
              <w:rPr>
                <w:sz w:val="24"/>
                <w:szCs w:val="24"/>
              </w:rPr>
              <w:t>Возможность диагностики не только острых, но и вялотекущих, скрытых инфекций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02" w:type="dxa"/>
          </w:tcPr>
          <w:p w:rsidR="00026E6F" w:rsidRDefault="00026E6F" w:rsidP="00026E6F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02C13">
              <w:rPr>
                <w:sz w:val="24"/>
                <w:szCs w:val="24"/>
              </w:rPr>
              <w:t>облюдени</w:t>
            </w:r>
            <w:r>
              <w:rPr>
                <w:sz w:val="24"/>
                <w:szCs w:val="24"/>
              </w:rPr>
              <w:t xml:space="preserve">е </w:t>
            </w:r>
            <w:r w:rsidRPr="00E02C13">
              <w:rPr>
                <w:sz w:val="24"/>
                <w:szCs w:val="24"/>
              </w:rPr>
              <w:t>строжайших правил оснащения лаборатории</w:t>
            </w:r>
            <w:r>
              <w:rPr>
                <w:sz w:val="24"/>
                <w:szCs w:val="24"/>
              </w:rPr>
              <w:t>;</w:t>
            </w:r>
          </w:p>
          <w:p w:rsidR="00026E6F" w:rsidRDefault="00026E6F" w:rsidP="00026E6F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получения ложноположительного;</w:t>
            </w:r>
          </w:p>
          <w:p w:rsidR="00026E6F" w:rsidRDefault="00026E6F" w:rsidP="00026E6F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E02C13">
              <w:rPr>
                <w:sz w:val="24"/>
                <w:szCs w:val="24"/>
              </w:rPr>
              <w:t>онтаминирование</w:t>
            </w:r>
            <w:proofErr w:type="spellEnd"/>
            <w:r w:rsidRPr="00E02C13">
              <w:rPr>
                <w:sz w:val="24"/>
                <w:szCs w:val="24"/>
              </w:rPr>
              <w:t xml:space="preserve"> реакционной смеси</w:t>
            </w:r>
            <w:r>
              <w:rPr>
                <w:sz w:val="24"/>
                <w:szCs w:val="24"/>
              </w:rPr>
              <w:t>;</w:t>
            </w:r>
          </w:p>
          <w:p w:rsidR="00026E6F" w:rsidRDefault="00026E6F" w:rsidP="00026E6F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Ложноотрицательные результаты;</w:t>
            </w:r>
          </w:p>
          <w:p w:rsidR="00026E6F" w:rsidRDefault="00026E6F" w:rsidP="00026E6F">
            <w:r>
              <w:rPr>
                <w:sz w:val="24"/>
                <w:szCs w:val="24"/>
              </w:rPr>
              <w:t>Дороговизна</w:t>
            </w:r>
            <w:r>
              <w:rPr>
                <w:sz w:val="24"/>
                <w:szCs w:val="24"/>
              </w:rPr>
              <w:tab/>
            </w:r>
          </w:p>
          <w:p w:rsidR="00026E6F" w:rsidRPr="00026E6F" w:rsidRDefault="00026E6F" w:rsidP="00026E6F"/>
          <w:p w:rsidR="00026E6F" w:rsidRDefault="00026E6F" w:rsidP="00026E6F"/>
          <w:p w:rsidR="00026E6F" w:rsidRDefault="00026E6F" w:rsidP="00026E6F"/>
          <w:p w:rsidR="00026E6F" w:rsidRDefault="00026E6F" w:rsidP="00026E6F"/>
          <w:p w:rsidR="00026E6F" w:rsidRPr="00026E6F" w:rsidRDefault="00026E6F" w:rsidP="00026E6F">
            <w:pPr>
              <w:jc w:val="center"/>
            </w:pPr>
          </w:p>
        </w:tc>
        <w:tc>
          <w:tcPr>
            <w:tcW w:w="2055" w:type="dxa"/>
          </w:tcPr>
          <w:p w:rsidR="00026E6F" w:rsidRDefault="00026E6F" w:rsidP="00272A80">
            <w:r w:rsidRPr="005D1DD9">
              <w:rPr>
                <w:sz w:val="24"/>
                <w:szCs w:val="24"/>
              </w:rPr>
              <w:t>Taq-ДНК-полимераза</w:t>
            </w:r>
            <w:r>
              <w:rPr>
                <w:sz w:val="24"/>
                <w:szCs w:val="24"/>
              </w:rPr>
              <w:t>;</w:t>
            </w:r>
            <w:r w:rsidRPr="005D1DD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</w:t>
            </w:r>
            <w:r w:rsidRPr="005D1DD9">
              <w:rPr>
                <w:sz w:val="24"/>
                <w:szCs w:val="24"/>
              </w:rPr>
              <w:t>езоксирибонуклеотидтрифосфаты</w:t>
            </w:r>
            <w:proofErr w:type="spellEnd"/>
            <w:r>
              <w:rPr>
                <w:sz w:val="24"/>
                <w:szCs w:val="24"/>
              </w:rPr>
              <w:t>;</w:t>
            </w:r>
            <w:r w:rsidRPr="005D1DD9">
              <w:rPr>
                <w:sz w:val="24"/>
                <w:szCs w:val="24"/>
              </w:rPr>
              <w:t xml:space="preserve"> буферный раствор</w:t>
            </w:r>
            <w:r>
              <w:rPr>
                <w:sz w:val="24"/>
                <w:szCs w:val="24"/>
              </w:rPr>
              <w:t>;</w:t>
            </w:r>
            <w:r w:rsidRPr="005D1DD9">
              <w:rPr>
                <w:sz w:val="24"/>
                <w:szCs w:val="24"/>
              </w:rPr>
              <w:t xml:space="preserve"> «прямой» и «обратный» </w:t>
            </w:r>
            <w:proofErr w:type="spellStart"/>
            <w:r w:rsidRPr="005D1DD9">
              <w:rPr>
                <w:sz w:val="24"/>
                <w:szCs w:val="24"/>
              </w:rPr>
              <w:t>праймеры</w:t>
            </w:r>
            <w:proofErr w:type="spellEnd"/>
            <w:r w:rsidRPr="005D1DD9">
              <w:rPr>
                <w:sz w:val="24"/>
                <w:szCs w:val="24"/>
              </w:rPr>
              <w:t>, а также ДНК-матрица.</w:t>
            </w:r>
          </w:p>
          <w:p w:rsidR="00026E6F" w:rsidRPr="00026E6F" w:rsidRDefault="00026E6F" w:rsidP="00026E6F"/>
          <w:p w:rsidR="00026E6F" w:rsidRPr="00026E6F" w:rsidRDefault="00026E6F" w:rsidP="00026E6F"/>
          <w:p w:rsidR="00026E6F" w:rsidRDefault="00026E6F" w:rsidP="00026E6F"/>
          <w:p w:rsidR="00026E6F" w:rsidRDefault="00026E6F" w:rsidP="00026E6F"/>
          <w:p w:rsidR="00026E6F" w:rsidRDefault="00026E6F" w:rsidP="00026E6F"/>
          <w:p w:rsidR="00026E6F" w:rsidRPr="00026E6F" w:rsidRDefault="00026E6F" w:rsidP="00026E6F">
            <w:pPr>
              <w:jc w:val="center"/>
            </w:pPr>
          </w:p>
        </w:tc>
        <w:tc>
          <w:tcPr>
            <w:tcW w:w="2005" w:type="dxa"/>
          </w:tcPr>
          <w:p w:rsidR="00026E6F" w:rsidRDefault="00026E6F" w:rsidP="00026E6F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D1DD9">
              <w:rPr>
                <w:sz w:val="24"/>
                <w:szCs w:val="24"/>
              </w:rPr>
              <w:t xml:space="preserve">Учет результатов </w:t>
            </w:r>
            <w:proofErr w:type="spellStart"/>
            <w:r w:rsidRPr="005D1DD9">
              <w:rPr>
                <w:sz w:val="24"/>
                <w:szCs w:val="24"/>
              </w:rPr>
              <w:t>ПЦР-анализа</w:t>
            </w:r>
            <w:proofErr w:type="spellEnd"/>
            <w:r w:rsidRPr="005D1DD9">
              <w:rPr>
                <w:sz w:val="24"/>
                <w:szCs w:val="24"/>
              </w:rPr>
              <w:t xml:space="preserve"> проводится по наличию или отсутствию на </w:t>
            </w:r>
            <w:proofErr w:type="spellStart"/>
            <w:r w:rsidRPr="005D1DD9">
              <w:rPr>
                <w:sz w:val="24"/>
                <w:szCs w:val="24"/>
              </w:rPr>
              <w:t>электрофореграмме</w:t>
            </w:r>
            <w:proofErr w:type="spellEnd"/>
            <w:r w:rsidRPr="005D1DD9">
              <w:rPr>
                <w:sz w:val="24"/>
                <w:szCs w:val="24"/>
              </w:rPr>
              <w:t xml:space="preserve"> специфических полос </w:t>
            </w:r>
            <w:proofErr w:type="spellStart"/>
            <w:r w:rsidRPr="005D1DD9">
              <w:rPr>
                <w:sz w:val="24"/>
                <w:szCs w:val="24"/>
              </w:rPr>
              <w:t>амплифицированной</w:t>
            </w:r>
            <w:proofErr w:type="spellEnd"/>
            <w:r w:rsidRPr="005D1DD9">
              <w:rPr>
                <w:sz w:val="24"/>
                <w:szCs w:val="24"/>
              </w:rPr>
              <w:t xml:space="preserve"> ДНК.</w:t>
            </w:r>
          </w:p>
          <w:p w:rsidR="00026E6F" w:rsidRPr="00272A80" w:rsidRDefault="00026E6F" w:rsidP="00026E6F">
            <w:r w:rsidRPr="004E5943">
              <w:rPr>
                <w:sz w:val="24"/>
                <w:szCs w:val="24"/>
              </w:rPr>
              <w:t>Положительными считаются образцы, которые содержат специфическую светящуюся полосу</w:t>
            </w:r>
            <w:r>
              <w:rPr>
                <w:sz w:val="24"/>
                <w:szCs w:val="24"/>
              </w:rPr>
              <w:t>, отрицательными – отсутствие полосы.</w:t>
            </w:r>
          </w:p>
        </w:tc>
        <w:tc>
          <w:tcPr>
            <w:tcW w:w="1578" w:type="dxa"/>
          </w:tcPr>
          <w:p w:rsidR="00026E6F" w:rsidRPr="00272A80" w:rsidRDefault="00026E6F" w:rsidP="00272A80">
            <w:r>
              <w:rPr>
                <w:sz w:val="24"/>
                <w:szCs w:val="24"/>
              </w:rPr>
              <w:t>Широко применяется в науке, медицине и криминалистике</w:t>
            </w:r>
          </w:p>
        </w:tc>
      </w:tr>
    </w:tbl>
    <w:p w:rsidR="009E12FA" w:rsidRDefault="009E12FA"/>
    <w:sectPr w:rsidR="009E12FA" w:rsidSect="004073B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832CC"/>
    <w:multiLevelType w:val="multilevel"/>
    <w:tmpl w:val="0B18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/>
  <w:defaultTabStop w:val="708"/>
  <w:drawingGridHorizontalSpacing w:val="140"/>
  <w:displayHorizontalDrawingGridEvery w:val="2"/>
  <w:characterSpacingControl w:val="doNotCompress"/>
  <w:compat/>
  <w:rsids>
    <w:rsidRoot w:val="004073B0"/>
    <w:rsid w:val="00017712"/>
    <w:rsid w:val="00020C71"/>
    <w:rsid w:val="0002160D"/>
    <w:rsid w:val="00026E6F"/>
    <w:rsid w:val="000357FE"/>
    <w:rsid w:val="00040287"/>
    <w:rsid w:val="0004121D"/>
    <w:rsid w:val="00066E5C"/>
    <w:rsid w:val="0007668D"/>
    <w:rsid w:val="00077CA8"/>
    <w:rsid w:val="000A188B"/>
    <w:rsid w:val="000A7466"/>
    <w:rsid w:val="000C31EF"/>
    <w:rsid w:val="001302E3"/>
    <w:rsid w:val="00133D92"/>
    <w:rsid w:val="00167C8F"/>
    <w:rsid w:val="00184479"/>
    <w:rsid w:val="001A09F1"/>
    <w:rsid w:val="001A2B65"/>
    <w:rsid w:val="001B1D72"/>
    <w:rsid w:val="001C74C6"/>
    <w:rsid w:val="001D0C1B"/>
    <w:rsid w:val="001D315B"/>
    <w:rsid w:val="001E5D51"/>
    <w:rsid w:val="0021237F"/>
    <w:rsid w:val="00215A67"/>
    <w:rsid w:val="0023099F"/>
    <w:rsid w:val="00231B6B"/>
    <w:rsid w:val="00250CB4"/>
    <w:rsid w:val="00272A80"/>
    <w:rsid w:val="002B0DA2"/>
    <w:rsid w:val="002B4371"/>
    <w:rsid w:val="002C1A5B"/>
    <w:rsid w:val="002C7339"/>
    <w:rsid w:val="002D3C3C"/>
    <w:rsid w:val="002F5F67"/>
    <w:rsid w:val="002F74A5"/>
    <w:rsid w:val="00301DF7"/>
    <w:rsid w:val="0030497F"/>
    <w:rsid w:val="00334A02"/>
    <w:rsid w:val="0033585E"/>
    <w:rsid w:val="003370CF"/>
    <w:rsid w:val="00337F08"/>
    <w:rsid w:val="003519F7"/>
    <w:rsid w:val="00356F73"/>
    <w:rsid w:val="003633E8"/>
    <w:rsid w:val="003754A8"/>
    <w:rsid w:val="00386D43"/>
    <w:rsid w:val="003B3673"/>
    <w:rsid w:val="003C4A65"/>
    <w:rsid w:val="003E36A3"/>
    <w:rsid w:val="003E70DC"/>
    <w:rsid w:val="003F6649"/>
    <w:rsid w:val="004073B0"/>
    <w:rsid w:val="004076E4"/>
    <w:rsid w:val="00435CEF"/>
    <w:rsid w:val="00443BBF"/>
    <w:rsid w:val="00444321"/>
    <w:rsid w:val="00445383"/>
    <w:rsid w:val="0045050B"/>
    <w:rsid w:val="0045254D"/>
    <w:rsid w:val="004609CD"/>
    <w:rsid w:val="0047273A"/>
    <w:rsid w:val="004843D3"/>
    <w:rsid w:val="0049098C"/>
    <w:rsid w:val="004B3F58"/>
    <w:rsid w:val="004E1AD1"/>
    <w:rsid w:val="0051291F"/>
    <w:rsid w:val="005374BF"/>
    <w:rsid w:val="00560734"/>
    <w:rsid w:val="00580172"/>
    <w:rsid w:val="00586F43"/>
    <w:rsid w:val="005C247A"/>
    <w:rsid w:val="005C420C"/>
    <w:rsid w:val="005D2DDA"/>
    <w:rsid w:val="005D6A88"/>
    <w:rsid w:val="005E0D00"/>
    <w:rsid w:val="005E63E7"/>
    <w:rsid w:val="00605F35"/>
    <w:rsid w:val="006067D4"/>
    <w:rsid w:val="0062606A"/>
    <w:rsid w:val="00630B24"/>
    <w:rsid w:val="00631102"/>
    <w:rsid w:val="00643AE8"/>
    <w:rsid w:val="006661DE"/>
    <w:rsid w:val="006813EC"/>
    <w:rsid w:val="006832A7"/>
    <w:rsid w:val="006A1255"/>
    <w:rsid w:val="006A14DC"/>
    <w:rsid w:val="006A3031"/>
    <w:rsid w:val="006A5385"/>
    <w:rsid w:val="006A6DBC"/>
    <w:rsid w:val="006B4615"/>
    <w:rsid w:val="006D154F"/>
    <w:rsid w:val="006F0D3C"/>
    <w:rsid w:val="00705181"/>
    <w:rsid w:val="0071096F"/>
    <w:rsid w:val="00713E24"/>
    <w:rsid w:val="00725296"/>
    <w:rsid w:val="007260F8"/>
    <w:rsid w:val="007A4FCF"/>
    <w:rsid w:val="007C6D68"/>
    <w:rsid w:val="007E25DB"/>
    <w:rsid w:val="007F7C4C"/>
    <w:rsid w:val="008228AC"/>
    <w:rsid w:val="008306B6"/>
    <w:rsid w:val="00856F40"/>
    <w:rsid w:val="00866F50"/>
    <w:rsid w:val="008707B5"/>
    <w:rsid w:val="008864CB"/>
    <w:rsid w:val="008965D5"/>
    <w:rsid w:val="00897919"/>
    <w:rsid w:val="008A2D06"/>
    <w:rsid w:val="008A4DBE"/>
    <w:rsid w:val="008A7CAD"/>
    <w:rsid w:val="008F4D15"/>
    <w:rsid w:val="0092222C"/>
    <w:rsid w:val="00942A0C"/>
    <w:rsid w:val="00965C83"/>
    <w:rsid w:val="009762A6"/>
    <w:rsid w:val="00981247"/>
    <w:rsid w:val="00981CAE"/>
    <w:rsid w:val="009E12FA"/>
    <w:rsid w:val="00A10C17"/>
    <w:rsid w:val="00A131D1"/>
    <w:rsid w:val="00A16B93"/>
    <w:rsid w:val="00A317C1"/>
    <w:rsid w:val="00A77BCF"/>
    <w:rsid w:val="00A86C4B"/>
    <w:rsid w:val="00A9517B"/>
    <w:rsid w:val="00AC3E5D"/>
    <w:rsid w:val="00AD29D5"/>
    <w:rsid w:val="00AF68D0"/>
    <w:rsid w:val="00B05A6E"/>
    <w:rsid w:val="00B260B4"/>
    <w:rsid w:val="00B30527"/>
    <w:rsid w:val="00B4279E"/>
    <w:rsid w:val="00B531A9"/>
    <w:rsid w:val="00B53A9D"/>
    <w:rsid w:val="00B55220"/>
    <w:rsid w:val="00B61687"/>
    <w:rsid w:val="00B619E5"/>
    <w:rsid w:val="00B6382A"/>
    <w:rsid w:val="00B67D00"/>
    <w:rsid w:val="00B77EDD"/>
    <w:rsid w:val="00BB5DBD"/>
    <w:rsid w:val="00BD2156"/>
    <w:rsid w:val="00BD4322"/>
    <w:rsid w:val="00BF5154"/>
    <w:rsid w:val="00C1782C"/>
    <w:rsid w:val="00C2258E"/>
    <w:rsid w:val="00C22749"/>
    <w:rsid w:val="00C23BE2"/>
    <w:rsid w:val="00C25AAD"/>
    <w:rsid w:val="00C275C3"/>
    <w:rsid w:val="00C30AD1"/>
    <w:rsid w:val="00C3128F"/>
    <w:rsid w:val="00C439FC"/>
    <w:rsid w:val="00C44DB0"/>
    <w:rsid w:val="00C667AC"/>
    <w:rsid w:val="00C73DD1"/>
    <w:rsid w:val="00C74EFB"/>
    <w:rsid w:val="00C76B33"/>
    <w:rsid w:val="00C80326"/>
    <w:rsid w:val="00C93A59"/>
    <w:rsid w:val="00CB5415"/>
    <w:rsid w:val="00CC2036"/>
    <w:rsid w:val="00CF3A07"/>
    <w:rsid w:val="00CF44DD"/>
    <w:rsid w:val="00D202D9"/>
    <w:rsid w:val="00D55C80"/>
    <w:rsid w:val="00D8166F"/>
    <w:rsid w:val="00DA1457"/>
    <w:rsid w:val="00DA42D7"/>
    <w:rsid w:val="00DC6379"/>
    <w:rsid w:val="00DE0D33"/>
    <w:rsid w:val="00DF290B"/>
    <w:rsid w:val="00E06B22"/>
    <w:rsid w:val="00E12803"/>
    <w:rsid w:val="00E15F53"/>
    <w:rsid w:val="00E17DCA"/>
    <w:rsid w:val="00E5369B"/>
    <w:rsid w:val="00E67713"/>
    <w:rsid w:val="00EA4788"/>
    <w:rsid w:val="00EB4BB7"/>
    <w:rsid w:val="00EC3FDC"/>
    <w:rsid w:val="00ED7277"/>
    <w:rsid w:val="00EF3487"/>
    <w:rsid w:val="00F04D7C"/>
    <w:rsid w:val="00F06196"/>
    <w:rsid w:val="00F148A5"/>
    <w:rsid w:val="00F26435"/>
    <w:rsid w:val="00F37517"/>
    <w:rsid w:val="00F405AE"/>
    <w:rsid w:val="00F46951"/>
    <w:rsid w:val="00F76F97"/>
    <w:rsid w:val="00F966CC"/>
    <w:rsid w:val="00FA323C"/>
    <w:rsid w:val="00FB28E1"/>
    <w:rsid w:val="00FB52B6"/>
    <w:rsid w:val="00FC07E6"/>
    <w:rsid w:val="00FD0A73"/>
    <w:rsid w:val="00FE43B8"/>
    <w:rsid w:val="00FF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8B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A323C"/>
    <w:pPr>
      <w:spacing w:after="0" w:line="360" w:lineRule="auto"/>
      <w:ind w:firstLine="709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323C"/>
    <w:pPr>
      <w:keepNext/>
      <w:keepLines/>
      <w:suppressAutoHyphens/>
      <w:spacing w:after="0" w:line="360" w:lineRule="auto"/>
      <w:ind w:firstLine="709"/>
      <w:outlineLvl w:val="1"/>
    </w:pPr>
    <w:rPr>
      <w:rFonts w:eastAsiaTheme="majorEastAsia" w:cstheme="majorBidi"/>
      <w:b/>
      <w:cap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323C"/>
    <w:pPr>
      <w:keepNext/>
      <w:keepLines/>
      <w:suppressAutoHyphens/>
      <w:spacing w:after="0" w:line="360" w:lineRule="auto"/>
      <w:ind w:firstLine="709"/>
      <w:outlineLvl w:val="2"/>
    </w:pPr>
    <w:rPr>
      <w:rFonts w:eastAsiaTheme="majorEastAsia" w:cstheme="majorBidi"/>
      <w:b/>
      <w:cap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A323C"/>
    <w:pPr>
      <w:spacing w:after="0" w:line="360" w:lineRule="auto"/>
      <w:ind w:firstLine="709"/>
      <w:contextualSpacing/>
    </w:pPr>
    <w:rPr>
      <w:rFonts w:eastAsiaTheme="majorEastAsia" w:cstheme="majorBidi"/>
      <w:b/>
      <w:caps/>
      <w:szCs w:val="56"/>
    </w:rPr>
  </w:style>
  <w:style w:type="character" w:customStyle="1" w:styleId="a4">
    <w:name w:val="Название Знак"/>
    <w:basedOn w:val="a0"/>
    <w:link w:val="a3"/>
    <w:uiPriority w:val="10"/>
    <w:rsid w:val="00FA323C"/>
    <w:rPr>
      <w:rFonts w:ascii="Times New Roman" w:eastAsiaTheme="majorEastAsia" w:hAnsi="Times New Roman" w:cstheme="majorBidi"/>
      <w:b/>
      <w:caps/>
      <w:sz w:val="28"/>
      <w:szCs w:val="56"/>
    </w:rPr>
  </w:style>
  <w:style w:type="character" w:customStyle="1" w:styleId="10">
    <w:name w:val="Заголовок 1 Знак"/>
    <w:basedOn w:val="a0"/>
    <w:link w:val="1"/>
    <w:uiPriority w:val="9"/>
    <w:rsid w:val="00FA323C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FA323C"/>
    <w:rPr>
      <w:rFonts w:ascii="Times New Roman" w:eastAsiaTheme="majorEastAsia" w:hAnsi="Times New Roman" w:cstheme="majorBidi"/>
      <w:b/>
      <w:cap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FA323C"/>
    <w:rPr>
      <w:rFonts w:ascii="Times New Roman" w:eastAsiaTheme="majorEastAsia" w:hAnsi="Times New Roman" w:cstheme="majorBidi"/>
      <w:b/>
      <w:caps/>
      <w:sz w:val="28"/>
      <w:szCs w:val="24"/>
    </w:rPr>
  </w:style>
  <w:style w:type="paragraph" w:customStyle="1" w:styleId="a5">
    <w:name w:val="Название таблицы"/>
    <w:basedOn w:val="a6"/>
    <w:next w:val="a"/>
    <w:link w:val="a7"/>
    <w:qFormat/>
    <w:rsid w:val="00FA323C"/>
    <w:rPr>
      <w:rFonts w:eastAsia="Calibri" w:cs="Times New Roman"/>
      <w:lang w:val="en-US"/>
    </w:rPr>
  </w:style>
  <w:style w:type="character" w:customStyle="1" w:styleId="a7">
    <w:name w:val="Название таблицы Знак"/>
    <w:link w:val="a5"/>
    <w:rsid w:val="00FA323C"/>
    <w:rPr>
      <w:rFonts w:ascii="Times New Roman" w:eastAsia="Calibri" w:hAnsi="Times New Roman" w:cs="Times New Roman"/>
      <w:sz w:val="28"/>
      <w:lang w:val="en-US"/>
    </w:rPr>
  </w:style>
  <w:style w:type="paragraph" w:styleId="a6">
    <w:name w:val="Body Text"/>
    <w:link w:val="a8"/>
    <w:uiPriority w:val="99"/>
    <w:unhideWhenUsed/>
    <w:qFormat/>
    <w:rsid w:val="00FA323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6"/>
    <w:uiPriority w:val="99"/>
    <w:rsid w:val="00FA323C"/>
    <w:rPr>
      <w:rFonts w:ascii="Times New Roman" w:hAnsi="Times New Roman"/>
      <w:sz w:val="28"/>
    </w:rPr>
  </w:style>
  <w:style w:type="paragraph" w:customStyle="1" w:styleId="a9">
    <w:name w:val="Название рисунка"/>
    <w:basedOn w:val="a6"/>
    <w:next w:val="a"/>
    <w:link w:val="aa"/>
    <w:qFormat/>
    <w:rsid w:val="00FA323C"/>
    <w:rPr>
      <w:rFonts w:eastAsia="Calibri" w:cs="Times New Roman"/>
    </w:rPr>
  </w:style>
  <w:style w:type="character" w:customStyle="1" w:styleId="aa">
    <w:name w:val="Название рисунка Знак"/>
    <w:link w:val="a9"/>
    <w:rsid w:val="00FA323C"/>
    <w:rPr>
      <w:rFonts w:ascii="Times New Roman" w:eastAsia="Calibri" w:hAnsi="Times New Roman" w:cs="Times New Roman"/>
      <w:sz w:val="28"/>
    </w:rPr>
  </w:style>
  <w:style w:type="table" w:styleId="ab">
    <w:name w:val="Table Grid"/>
    <w:basedOn w:val="a1"/>
    <w:uiPriority w:val="39"/>
    <w:rsid w:val="00407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51291F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51291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4B6E4-8BC1-422B-90DE-3A0AFB75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2020-06-24T20:28:00Z</dcterms:created>
  <dcterms:modified xsi:type="dcterms:W3CDTF">2020-06-24T20:51:00Z</dcterms:modified>
</cp:coreProperties>
</file>