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43" w:rsidRPr="007C0D43" w:rsidRDefault="007C0D43" w:rsidP="007C0D43">
      <w:pPr>
        <w:tabs>
          <w:tab w:val="right" w:leader="underscore" w:pos="9639"/>
        </w:tabs>
        <w:jc w:val="center"/>
        <w:rPr>
          <w:b/>
          <w:bCs/>
          <w:sz w:val="28"/>
          <w:szCs w:val="28"/>
        </w:rPr>
      </w:pPr>
      <w:r w:rsidRPr="007C0D43">
        <w:rPr>
          <w:b/>
          <w:bCs/>
          <w:sz w:val="28"/>
          <w:szCs w:val="28"/>
        </w:rPr>
        <w:t>Тема 1 «</w:t>
      </w:r>
      <w:r w:rsidRPr="007C0D43">
        <w:rPr>
          <w:b/>
          <w:sz w:val="28"/>
          <w:szCs w:val="28"/>
        </w:rPr>
        <w:t>Введение в риск-менеджмент</w:t>
      </w:r>
      <w:r w:rsidRPr="007C0D43">
        <w:rPr>
          <w:b/>
          <w:bCs/>
          <w:sz w:val="28"/>
          <w:szCs w:val="28"/>
        </w:rPr>
        <w:t>»</w:t>
      </w:r>
    </w:p>
    <w:p w:rsidR="007C0D43" w:rsidRDefault="007C0D43" w:rsidP="007C0D43">
      <w:pPr>
        <w:pStyle w:val="a3"/>
        <w:ind w:left="0" w:right="-28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D22D15">
        <w:rPr>
          <w:rFonts w:ascii="Times New Roman" w:hAnsi="Times New Roman"/>
        </w:rPr>
        <w:t>Риск-менеджмент как система управления рисками организации.</w:t>
      </w:r>
    </w:p>
    <w:p w:rsidR="00FE4C9B" w:rsidRDefault="007C0D43" w:rsidP="007C0D43">
      <w:r>
        <w:t xml:space="preserve">2. </w:t>
      </w:r>
      <w:r w:rsidRPr="0002438A">
        <w:t xml:space="preserve">Финансовая среда </w:t>
      </w:r>
      <w:r>
        <w:t>организаций</w:t>
      </w:r>
    </w:p>
    <w:p w:rsidR="007C0D43" w:rsidRPr="0002438A" w:rsidRDefault="007C0D43" w:rsidP="007C0D43">
      <w:pPr>
        <w:pStyle w:val="a3"/>
        <w:numPr>
          <w:ilvl w:val="0"/>
          <w:numId w:val="1"/>
        </w:numPr>
        <w:spacing w:line="360" w:lineRule="auto"/>
        <w:ind w:left="-993" w:right="-284" w:firstLine="851"/>
        <w:contextualSpacing/>
        <w:rPr>
          <w:rFonts w:ascii="Times New Roman" w:hAnsi="Times New Roman"/>
        </w:rPr>
      </w:pPr>
      <w:r w:rsidRPr="0002438A">
        <w:rPr>
          <w:rFonts w:ascii="Times New Roman" w:hAnsi="Times New Roman"/>
        </w:rPr>
        <w:t>Финансовая микросреда предпринимательства</w:t>
      </w:r>
    </w:p>
    <w:p w:rsidR="007C0D43" w:rsidRPr="0002438A" w:rsidRDefault="007C0D43" w:rsidP="007C0D43">
      <w:pPr>
        <w:pStyle w:val="a3"/>
        <w:numPr>
          <w:ilvl w:val="0"/>
          <w:numId w:val="1"/>
        </w:numPr>
        <w:spacing w:line="360" w:lineRule="auto"/>
        <w:ind w:left="-993" w:right="-284" w:firstLine="851"/>
        <w:contextualSpacing/>
        <w:rPr>
          <w:rFonts w:ascii="Times New Roman" w:hAnsi="Times New Roman"/>
        </w:rPr>
      </w:pPr>
      <w:r w:rsidRPr="0002438A">
        <w:rPr>
          <w:rFonts w:ascii="Times New Roman" w:hAnsi="Times New Roman"/>
        </w:rPr>
        <w:t>Финансовая макросреда предпринимательства</w:t>
      </w:r>
    </w:p>
    <w:p w:rsidR="007C0D43" w:rsidRDefault="007C0D43" w:rsidP="007C0D43">
      <w:pPr>
        <w:pStyle w:val="a3"/>
        <w:spacing w:line="360" w:lineRule="auto"/>
        <w:ind w:left="-993" w:right="-284" w:firstLine="851"/>
        <w:jc w:val="center"/>
        <w:rPr>
          <w:rFonts w:ascii="Times New Roman" w:hAnsi="Times New Roman"/>
          <w:b/>
        </w:rPr>
      </w:pPr>
      <w:r w:rsidRPr="0002438A">
        <w:rPr>
          <w:rFonts w:ascii="Times New Roman" w:hAnsi="Times New Roman"/>
          <w:b/>
        </w:rPr>
        <w:t xml:space="preserve">Вопрос </w:t>
      </w:r>
      <w:r w:rsidRPr="007C0D43">
        <w:rPr>
          <w:rFonts w:ascii="Times New Roman" w:hAnsi="Times New Roman"/>
          <w:b/>
        </w:rPr>
        <w:t>1 Риск-менеджмент как система управления рисками организации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>«Если мы не будем управлять рисками, они начнут управлять нами...»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 xml:space="preserve">Опыт ведущих международных компаний убедительно доказывает, что стабильность развития бизнеса и повышение эффективности управления невозможны без активного использования </w:t>
      </w:r>
      <w:proofErr w:type="spellStart"/>
      <w:proofErr w:type="gramStart"/>
      <w:r w:rsidRPr="007C0D43">
        <w:rPr>
          <w:color w:val="3E4447"/>
        </w:rPr>
        <w:t>риск-менеджмента</w:t>
      </w:r>
      <w:proofErr w:type="spellEnd"/>
      <w:proofErr w:type="gramEnd"/>
      <w:r w:rsidRPr="007C0D43">
        <w:rPr>
          <w:color w:val="3E4447"/>
        </w:rPr>
        <w:t xml:space="preserve"> как составной части системы управления компанией вне зависимости от ее масштабов и специфики производства или предоставления услуг.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 xml:space="preserve">Система </w:t>
      </w:r>
      <w:proofErr w:type="spellStart"/>
      <w:proofErr w:type="gramStart"/>
      <w:r w:rsidRPr="007C0D43">
        <w:rPr>
          <w:color w:val="3E4447"/>
        </w:rPr>
        <w:t>риск-менеджмента</w:t>
      </w:r>
      <w:proofErr w:type="spellEnd"/>
      <w:proofErr w:type="gramEnd"/>
      <w:r w:rsidRPr="007C0D43">
        <w:rPr>
          <w:color w:val="3E4447"/>
        </w:rPr>
        <w:t xml:space="preserve"> (система управления рисками) направлена на достижение необходимого баланса между получением прибыли и сокращением убытков предпринимательской деятельности и призвана стать составной частью системы менеджмента организации, т.е. должна быть интегрирована в общую политику компании, ее бизнес-планы и деятельность. Только при выполнении этого условия применение системы </w:t>
      </w:r>
      <w:proofErr w:type="spellStart"/>
      <w:proofErr w:type="gramStart"/>
      <w:r w:rsidRPr="007C0D43">
        <w:rPr>
          <w:color w:val="3E4447"/>
        </w:rPr>
        <w:t>риск-менеджмента</w:t>
      </w:r>
      <w:proofErr w:type="spellEnd"/>
      <w:proofErr w:type="gramEnd"/>
      <w:r w:rsidRPr="007C0D43">
        <w:rPr>
          <w:color w:val="3E4447"/>
        </w:rPr>
        <w:t xml:space="preserve"> является эффективным.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 xml:space="preserve">Риск-менеджмент подразумевает создание необходимой культуры и инфраструктуры бизнеса </w:t>
      </w:r>
      <w:proofErr w:type="gramStart"/>
      <w:r w:rsidRPr="007C0D43">
        <w:rPr>
          <w:color w:val="3E4447"/>
        </w:rPr>
        <w:t>для</w:t>
      </w:r>
      <w:proofErr w:type="gramEnd"/>
      <w:r w:rsidRPr="007C0D43">
        <w:rPr>
          <w:color w:val="3E4447"/>
        </w:rPr>
        <w:t>:</w:t>
      </w:r>
    </w:p>
    <w:p w:rsidR="007C0D43" w:rsidRPr="007C0D43" w:rsidRDefault="007C0D43" w:rsidP="007C0D4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выявления причин и основных факторов возникновения рисков;</w:t>
      </w:r>
    </w:p>
    <w:p w:rsidR="007C0D43" w:rsidRPr="007C0D43" w:rsidRDefault="007C0D43" w:rsidP="007C0D43">
      <w:pPr>
        <w:numPr>
          <w:ilvl w:val="0"/>
          <w:numId w:val="9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идентификации, анализа и оценки рисков;</w:t>
      </w:r>
    </w:p>
    <w:p w:rsidR="007C0D43" w:rsidRPr="007C0D43" w:rsidRDefault="007C0D43" w:rsidP="007C0D43">
      <w:pPr>
        <w:numPr>
          <w:ilvl w:val="0"/>
          <w:numId w:val="9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принятия решений на основе произведенной оценки;</w:t>
      </w:r>
    </w:p>
    <w:p w:rsidR="007C0D43" w:rsidRPr="007C0D43" w:rsidRDefault="007C0D43" w:rsidP="007C0D43">
      <w:pPr>
        <w:numPr>
          <w:ilvl w:val="0"/>
          <w:numId w:val="9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 xml:space="preserve">выработки </w:t>
      </w:r>
      <w:proofErr w:type="spellStart"/>
      <w:r w:rsidRPr="007C0D43">
        <w:rPr>
          <w:color w:val="3E4447"/>
        </w:rPr>
        <w:t>антирисковых</w:t>
      </w:r>
      <w:proofErr w:type="spellEnd"/>
      <w:r w:rsidRPr="007C0D43">
        <w:rPr>
          <w:color w:val="3E4447"/>
        </w:rPr>
        <w:t xml:space="preserve"> управляющих воздействий;</w:t>
      </w:r>
    </w:p>
    <w:p w:rsidR="007C0D43" w:rsidRPr="007C0D43" w:rsidRDefault="007C0D43" w:rsidP="007C0D43">
      <w:pPr>
        <w:numPr>
          <w:ilvl w:val="0"/>
          <w:numId w:val="9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снижения риска до приемлемого уровня;</w:t>
      </w:r>
    </w:p>
    <w:p w:rsidR="007C0D43" w:rsidRPr="007C0D43" w:rsidRDefault="007C0D43" w:rsidP="007C0D43">
      <w:pPr>
        <w:numPr>
          <w:ilvl w:val="0"/>
          <w:numId w:val="9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организации выполнения намеченной программы;</w:t>
      </w:r>
    </w:p>
    <w:p w:rsidR="007C0D43" w:rsidRPr="007C0D43" w:rsidRDefault="007C0D43" w:rsidP="007C0D43">
      <w:pPr>
        <w:numPr>
          <w:ilvl w:val="0"/>
          <w:numId w:val="9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контроля выполнения запланированных действий;</w:t>
      </w:r>
    </w:p>
    <w:p w:rsidR="007C0D43" w:rsidRPr="007C0D43" w:rsidRDefault="007C0D43" w:rsidP="007C0D43">
      <w:pPr>
        <w:numPr>
          <w:ilvl w:val="0"/>
          <w:numId w:val="9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анализа и оценки результатов рискового решения.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 xml:space="preserve">Внедрение в практику предприятий системы </w:t>
      </w:r>
      <w:proofErr w:type="spellStart"/>
      <w:proofErr w:type="gramStart"/>
      <w:r w:rsidRPr="007C0D43">
        <w:rPr>
          <w:color w:val="3E4447"/>
        </w:rPr>
        <w:t>риск-менеджмента</w:t>
      </w:r>
      <w:proofErr w:type="spellEnd"/>
      <w:proofErr w:type="gramEnd"/>
      <w:r w:rsidRPr="007C0D43">
        <w:rPr>
          <w:color w:val="3E4447"/>
        </w:rPr>
        <w:t xml:space="preserve"> позволяет обеспечить стабильность их развития, повысить обоснованность принятия решений в рискованных ситуациях, улучшить финансовое положение за счет осуществления всех видов деятельности в контролируемых условиях.</w:t>
      </w:r>
    </w:p>
    <w:p w:rsidR="007C0D43" w:rsidRPr="007C0D43" w:rsidRDefault="007C0D43" w:rsidP="007C0D43">
      <w:pPr>
        <w:shd w:val="clear" w:color="auto" w:fill="FFFFFF"/>
        <w:ind w:firstLine="709"/>
        <w:jc w:val="both"/>
        <w:outlineLvl w:val="2"/>
        <w:rPr>
          <w:b/>
          <w:bCs/>
          <w:color w:val="3E4447"/>
        </w:rPr>
      </w:pPr>
      <w:r w:rsidRPr="007C0D43">
        <w:rPr>
          <w:b/>
          <w:bCs/>
          <w:color w:val="3E4447"/>
        </w:rPr>
        <w:t xml:space="preserve">Предпосылки </w:t>
      </w:r>
      <w:proofErr w:type="spellStart"/>
      <w:proofErr w:type="gramStart"/>
      <w:r w:rsidRPr="007C0D43">
        <w:rPr>
          <w:b/>
          <w:bCs/>
          <w:color w:val="3E4447"/>
        </w:rPr>
        <w:t>риск-менеджмента</w:t>
      </w:r>
      <w:proofErr w:type="spellEnd"/>
      <w:proofErr w:type="gramEnd"/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 xml:space="preserve">Все предприятия при реализации своих бизнес-процессов систематически сталкиваются с необходимостью управлять различными видами рисков. Поэтому высшее руководство компании должно добиться того, чтобы необходимость </w:t>
      </w:r>
      <w:proofErr w:type="spellStart"/>
      <w:proofErr w:type="gramStart"/>
      <w:r w:rsidRPr="007C0D43">
        <w:rPr>
          <w:color w:val="3E4447"/>
        </w:rPr>
        <w:t>риск-менеджмента</w:t>
      </w:r>
      <w:proofErr w:type="spellEnd"/>
      <w:proofErr w:type="gramEnd"/>
      <w:r w:rsidRPr="007C0D43">
        <w:rPr>
          <w:color w:val="3E4447"/>
        </w:rPr>
        <w:t xml:space="preserve"> была признана всеми менеджерами и персоналом организации в качестве одного из факторов первостепенной важности.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 xml:space="preserve">Базу для управления рисками образуют следующие основные особенности </w:t>
      </w:r>
      <w:proofErr w:type="spellStart"/>
      <w:proofErr w:type="gramStart"/>
      <w:r w:rsidRPr="007C0D43">
        <w:rPr>
          <w:color w:val="3E4447"/>
        </w:rPr>
        <w:t>риск-менеджмента</w:t>
      </w:r>
      <w:proofErr w:type="spellEnd"/>
      <w:proofErr w:type="gramEnd"/>
      <w:r w:rsidRPr="007C0D43">
        <w:rPr>
          <w:color w:val="3E4447"/>
        </w:rPr>
        <w:t>.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lastRenderedPageBreak/>
        <w:t>Управление рисками связано как с негативными, так и с благоприятными последствиями. Суть управления рисками состоит в том, чтобы определять потенциальные отклонения от запланированных результатов и управлять этими отклонениями для улучшения перспектив, сокращения убытков и улучшения обоснованности принимаемых решений. Управлять рисками означает определять перспективы и выявлять возможности для совершенствования деятельности, а также не допускать или сокращать вероятность нежелательного хода событий.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 xml:space="preserve">Управление рисками подразумевает тщательный анализ условий для принятия решений. Управление рисками — это логический и систематический процесс, который можно применять для выбора пути дальнейшего совершенствования деятельности, повышения эффективности бизнес-процессов организации. Это путь, ведущий к обеспечению гарантированной результативности </w:t>
      </w:r>
      <w:proofErr w:type="spellStart"/>
      <w:r w:rsidRPr="007C0D43">
        <w:rPr>
          <w:color w:val="3E4447"/>
        </w:rPr>
        <w:t>бизнеспроцессов</w:t>
      </w:r>
      <w:proofErr w:type="spellEnd"/>
      <w:r w:rsidRPr="007C0D43">
        <w:rPr>
          <w:color w:val="3E4447"/>
        </w:rPr>
        <w:t>. Риск-менеджмент должен быть интегрирован в ежедневную работу предприятия.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 xml:space="preserve">Главные направления интеграции </w:t>
      </w:r>
      <w:proofErr w:type="spellStart"/>
      <w:proofErr w:type="gramStart"/>
      <w:r w:rsidRPr="007C0D43">
        <w:rPr>
          <w:color w:val="3E4447"/>
        </w:rPr>
        <w:t>риск-менеджмента</w:t>
      </w:r>
      <w:proofErr w:type="spellEnd"/>
      <w:proofErr w:type="gramEnd"/>
      <w:r w:rsidRPr="007C0D43">
        <w:rPr>
          <w:color w:val="3E4447"/>
        </w:rPr>
        <w:t xml:space="preserve"> в систему управления организацией представлены на рис. 1.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3.75pt;height:23.75pt"/>
        </w:pict>
      </w:r>
      <w:r w:rsidRPr="007C0D43">
        <w:rPr>
          <w:color w:val="3E4447"/>
        </w:rPr>
        <w:br/>
      </w:r>
      <w:r w:rsidRPr="007C0D43">
        <w:rPr>
          <w:i/>
          <w:iCs/>
          <w:color w:val="3E4447"/>
        </w:rPr>
        <w:t xml:space="preserve">Рис. 1. Основные направления интеграции системы </w:t>
      </w:r>
      <w:proofErr w:type="spellStart"/>
      <w:r w:rsidRPr="007C0D43">
        <w:rPr>
          <w:i/>
          <w:iCs/>
          <w:color w:val="3E4447"/>
        </w:rPr>
        <w:t>рискменеджмента</w:t>
      </w:r>
      <w:proofErr w:type="spellEnd"/>
      <w:r w:rsidRPr="007C0D43">
        <w:rPr>
          <w:i/>
          <w:iCs/>
          <w:color w:val="3E4447"/>
        </w:rPr>
        <w:t xml:space="preserve"> в систему управления организацией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 xml:space="preserve">Управление рисками требует опережающего мышления. Управление рисками — это скорее процесс определения того, что может произойти, и одновременно обеспечение состояния готовности к этому, а отнюдь не реакционное управление деятельностью. Формализованная система </w:t>
      </w:r>
      <w:proofErr w:type="spellStart"/>
      <w:proofErr w:type="gramStart"/>
      <w:r w:rsidRPr="007C0D43">
        <w:rPr>
          <w:color w:val="3E4447"/>
        </w:rPr>
        <w:t>риск-менеджмента</w:t>
      </w:r>
      <w:proofErr w:type="spellEnd"/>
      <w:proofErr w:type="gramEnd"/>
      <w:r w:rsidRPr="007C0D43">
        <w:rPr>
          <w:color w:val="3E4447"/>
        </w:rPr>
        <w:t xml:space="preserve"> позволяет создать систему управления организацией, работающую на предупреждение возможных проблем.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>Управление рисками требует четкого распределения ответственности и полномочий, необходимых для принятия управленческих решений. Высшее руководство несет генеральную ответственность за управление рисками в организации. Его исключительной прерогативой является распределение между соответствующими сотрудниками ответственности и полномочий. Решения, которые принимаются в процессе управления рисками, должны находиться в рамках законодательных требований и отвечать корпоративным целям. Таким образом, очень важно определить оптимальный баланс между ответственностью за риск и способностью контролировать этот риск.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 xml:space="preserve">Управление рисками зависит от эффективного процесса взаимодействия между участниками </w:t>
      </w:r>
      <w:proofErr w:type="spellStart"/>
      <w:proofErr w:type="gramStart"/>
      <w:r w:rsidRPr="007C0D43">
        <w:rPr>
          <w:color w:val="3E4447"/>
        </w:rPr>
        <w:t>риск-менеджмента</w:t>
      </w:r>
      <w:proofErr w:type="spellEnd"/>
      <w:proofErr w:type="gramEnd"/>
      <w:r w:rsidRPr="007C0D43">
        <w:rPr>
          <w:color w:val="3E4447"/>
        </w:rPr>
        <w:t xml:space="preserve">. </w:t>
      </w:r>
      <w:proofErr w:type="gramStart"/>
      <w:r w:rsidRPr="007C0D43">
        <w:rPr>
          <w:color w:val="3E4447"/>
        </w:rPr>
        <w:t xml:space="preserve">Процесс </w:t>
      </w:r>
      <w:proofErr w:type="spellStart"/>
      <w:r w:rsidRPr="007C0D43">
        <w:rPr>
          <w:color w:val="3E4447"/>
        </w:rPr>
        <w:t>риск-менеджмента</w:t>
      </w:r>
      <w:proofErr w:type="spellEnd"/>
      <w:r w:rsidRPr="007C0D43">
        <w:rPr>
          <w:color w:val="3E4447"/>
        </w:rPr>
        <w:t xml:space="preserve"> осуществляется как во внутренней, так и во внешней среде предпринимательства, поэтому необходимо взаимодействовать и с внутренними, и с внешними участниками этого процесса.</w:t>
      </w:r>
      <w:proofErr w:type="gramEnd"/>
      <w:r w:rsidRPr="007C0D43">
        <w:rPr>
          <w:color w:val="3E4447"/>
        </w:rPr>
        <w:t xml:space="preserve"> Чтобы обеспечить полноценное управление рисками, в первую очередь важно наладить эффективное взаимодействие внутри организации.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 xml:space="preserve">Управление рисками требует принятия сбалансированного решения. В процессе </w:t>
      </w:r>
      <w:proofErr w:type="spellStart"/>
      <w:proofErr w:type="gramStart"/>
      <w:r w:rsidRPr="007C0D43">
        <w:rPr>
          <w:color w:val="3E4447"/>
        </w:rPr>
        <w:t>риск-менеджмента</w:t>
      </w:r>
      <w:proofErr w:type="spellEnd"/>
      <w:proofErr w:type="gramEnd"/>
      <w:r w:rsidRPr="007C0D43">
        <w:rPr>
          <w:color w:val="3E4447"/>
        </w:rPr>
        <w:t xml:space="preserve"> необходимо четко определять экономическую целесообразность уменьшения степени риска и достижения запланированных результатов.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 xml:space="preserve">Перечисленные особенности </w:t>
      </w:r>
      <w:proofErr w:type="spellStart"/>
      <w:proofErr w:type="gramStart"/>
      <w:r w:rsidRPr="007C0D43">
        <w:rPr>
          <w:color w:val="3E4447"/>
        </w:rPr>
        <w:t>риск-менеджмента</w:t>
      </w:r>
      <w:proofErr w:type="spellEnd"/>
      <w:proofErr w:type="gramEnd"/>
      <w:r w:rsidRPr="007C0D43">
        <w:rPr>
          <w:color w:val="3E4447"/>
        </w:rPr>
        <w:t xml:space="preserve"> являются его базовыми факторами (рис. 2).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pict>
          <v:shape id="_x0000_i1028" type="#_x0000_t75" alt="" style="width:23.75pt;height:23.75pt"/>
        </w:pict>
      </w:r>
      <w:r w:rsidRPr="007C0D43">
        <w:rPr>
          <w:color w:val="3E4447"/>
        </w:rPr>
        <w:br/>
      </w:r>
      <w:r w:rsidRPr="007C0D43">
        <w:rPr>
          <w:i/>
          <w:iCs/>
          <w:color w:val="3E4447"/>
        </w:rPr>
        <w:t xml:space="preserve">Рис. 2. Базовые факторы </w:t>
      </w:r>
      <w:proofErr w:type="spellStart"/>
      <w:proofErr w:type="gramStart"/>
      <w:r w:rsidRPr="007C0D43">
        <w:rPr>
          <w:i/>
          <w:iCs/>
          <w:color w:val="3E4447"/>
        </w:rPr>
        <w:t>риск-менеджмента</w:t>
      </w:r>
      <w:proofErr w:type="spellEnd"/>
      <w:proofErr w:type="gramEnd"/>
    </w:p>
    <w:p w:rsidR="007C0D43" w:rsidRPr="007C0D43" w:rsidRDefault="007C0D43" w:rsidP="007C0D43">
      <w:pPr>
        <w:shd w:val="clear" w:color="auto" w:fill="FFFFFF"/>
        <w:ind w:firstLine="709"/>
        <w:jc w:val="both"/>
        <w:outlineLvl w:val="2"/>
        <w:rPr>
          <w:b/>
          <w:bCs/>
          <w:color w:val="3E4447"/>
        </w:rPr>
      </w:pPr>
      <w:r w:rsidRPr="007C0D43">
        <w:rPr>
          <w:b/>
          <w:bCs/>
          <w:color w:val="3E4447"/>
        </w:rPr>
        <w:t xml:space="preserve">Преимущества </w:t>
      </w:r>
      <w:proofErr w:type="spellStart"/>
      <w:proofErr w:type="gramStart"/>
      <w:r w:rsidRPr="007C0D43">
        <w:rPr>
          <w:b/>
          <w:bCs/>
          <w:color w:val="3E4447"/>
        </w:rPr>
        <w:t>риск-менеджмента</w:t>
      </w:r>
      <w:proofErr w:type="spellEnd"/>
      <w:proofErr w:type="gramEnd"/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lastRenderedPageBreak/>
        <w:t xml:space="preserve">Основные преимущества </w:t>
      </w:r>
      <w:proofErr w:type="spellStart"/>
      <w:proofErr w:type="gramStart"/>
      <w:r w:rsidRPr="007C0D43">
        <w:rPr>
          <w:color w:val="3E4447"/>
        </w:rPr>
        <w:t>риск-менеджмента</w:t>
      </w:r>
      <w:proofErr w:type="spellEnd"/>
      <w:proofErr w:type="gramEnd"/>
      <w:r w:rsidRPr="007C0D43">
        <w:rPr>
          <w:color w:val="3E4447"/>
        </w:rPr>
        <w:t xml:space="preserve"> представлены в таблице 1.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i/>
          <w:iCs/>
          <w:color w:val="3E4447"/>
        </w:rPr>
        <w:t>Таблица 1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81"/>
        <w:gridCol w:w="5769"/>
      </w:tblGrid>
      <w:tr w:rsidR="007C0D43" w:rsidRPr="007C0D43" w:rsidTr="007C0D4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i/>
                <w:iCs/>
                <w:color w:val="3E4447"/>
              </w:rPr>
              <w:t>Преимущество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i/>
                <w:iCs/>
                <w:color w:val="3E4447"/>
              </w:rPr>
              <w:t>Характеристика</w:t>
            </w:r>
          </w:p>
        </w:tc>
      </w:tr>
      <w:tr w:rsidR="007C0D43" w:rsidRPr="007C0D43" w:rsidTr="007C0D4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>Снижение фактора неопределенности при осуществлении предпринимательской деятельности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>Контроль над негативными событиями сопровождается конкретными действиями по уменьшению вероятности их возникновения и сокращению их влияния. Даже при наступлении непреодолимых событий организация может достичь необходимой степени устойчивости благодаря адекватному планированию и подготовленности</w:t>
            </w:r>
          </w:p>
        </w:tc>
      </w:tr>
      <w:tr w:rsidR="007C0D43" w:rsidRPr="007C0D43" w:rsidTr="007C0D4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>Использование перспективных возможностей улучшения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 xml:space="preserve">В процессе </w:t>
            </w:r>
            <w:proofErr w:type="spellStart"/>
            <w:proofErr w:type="gramStart"/>
            <w:r w:rsidRPr="007C0D43">
              <w:rPr>
                <w:color w:val="3E4447"/>
              </w:rPr>
              <w:t>риск-менеджмента</w:t>
            </w:r>
            <w:proofErr w:type="spellEnd"/>
            <w:proofErr w:type="gramEnd"/>
            <w:r w:rsidRPr="007C0D43">
              <w:rPr>
                <w:color w:val="3E4447"/>
              </w:rPr>
              <w:t xml:space="preserve"> оценивается вероятность наступления благоприятных последствий в рисковой ситуации. Поиск перспектив становится эффективнее, если персонал осознает риски и обладает необходимыми навыками для управления ими</w:t>
            </w:r>
          </w:p>
        </w:tc>
      </w:tr>
      <w:tr w:rsidR="007C0D43" w:rsidRPr="007C0D43" w:rsidTr="007C0D4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>Улучшенное планирование и повышение эффективности деятельности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>Наличие объективных данных об организации, ее целевых показателях, операциях и перспективах позволяет осуществлять более взвешенное и эффективное планирование. Это в свою очередь повышает способность организации использовать благоприятные перспективы, сокращать негативные последствия и добиваться улучшения деятельности</w:t>
            </w:r>
          </w:p>
        </w:tc>
      </w:tr>
      <w:tr w:rsidR="007C0D43" w:rsidRPr="007C0D43" w:rsidTr="007C0D4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>Экономия ресурсов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 xml:space="preserve">Особое внимание уделяется вопросам экономической целесообразности проведения тех или иных </w:t>
            </w:r>
            <w:proofErr w:type="spellStart"/>
            <w:proofErr w:type="gramStart"/>
            <w:r w:rsidRPr="007C0D43">
              <w:rPr>
                <w:color w:val="3E4447"/>
              </w:rPr>
              <w:t>бизнес-операций</w:t>
            </w:r>
            <w:proofErr w:type="spellEnd"/>
            <w:proofErr w:type="gramEnd"/>
            <w:r w:rsidRPr="007C0D43">
              <w:rPr>
                <w:color w:val="3E4447"/>
              </w:rPr>
              <w:t>. Учет объема существующих ресурсов, повышение ликвидности активов позволяет не только избегать дорогостоящих ошибок, но и добиваться повышения прибыли от производственной деятельности</w:t>
            </w:r>
          </w:p>
        </w:tc>
      </w:tr>
      <w:tr w:rsidR="007C0D43" w:rsidRPr="007C0D43" w:rsidTr="007C0D4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>Улучшение взаимоотношений с заинтересованными сторонами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>Процесс управления рисками заставляет сотрудников компании выявлять ее заинтересованные внутренние и внешние стороны и вырабатывать двусторонний диалог между ними и руководством. Такой коммуникационный канал обеспечивает компанию сведениями о том, как заинтересованные стороны будут реагировать на изменения в ее деятельности</w:t>
            </w:r>
          </w:p>
        </w:tc>
      </w:tr>
      <w:tr w:rsidR="007C0D43" w:rsidRPr="007C0D43" w:rsidTr="007C0D4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>Повышение качества информации для принятия решений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 xml:space="preserve">Процесс </w:t>
            </w:r>
            <w:proofErr w:type="spellStart"/>
            <w:proofErr w:type="gramStart"/>
            <w:r w:rsidRPr="007C0D43">
              <w:rPr>
                <w:color w:val="3E4447"/>
              </w:rPr>
              <w:t>риск-менеджмента</w:t>
            </w:r>
            <w:proofErr w:type="spellEnd"/>
            <w:proofErr w:type="gramEnd"/>
            <w:r w:rsidRPr="007C0D43">
              <w:rPr>
                <w:color w:val="3E4447"/>
              </w:rPr>
              <w:t xml:space="preserve"> повышает точность информации и анализа, необходимых для принятия стратегических решений на различных </w:t>
            </w:r>
            <w:r w:rsidRPr="007C0D43">
              <w:rPr>
                <w:color w:val="3E4447"/>
              </w:rPr>
              <w:lastRenderedPageBreak/>
              <w:t>уровнях управления</w:t>
            </w:r>
          </w:p>
        </w:tc>
      </w:tr>
      <w:tr w:rsidR="007C0D43" w:rsidRPr="007C0D43" w:rsidTr="007C0D4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lastRenderedPageBreak/>
              <w:t>Рост деловой репутации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>Инвесторы, кредиторы, страховые компании, поставщики и клиенты охотнее работают с организациями, которые зарекомендовали себя как надежные партнеры на рынке, управляющие своими финансовыми и производственными рисками</w:t>
            </w:r>
          </w:p>
        </w:tc>
      </w:tr>
      <w:tr w:rsidR="007C0D43" w:rsidRPr="007C0D43" w:rsidTr="007C0D4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>Поддержка со стороны учредителей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>Качественное управление рисками обеспечивает авторитет руководства в глазах учредителей компании за счет наличия подробной базы данных потенциальных рисков и демонстрации наличия контролируемых условий функционирования предприятия.</w:t>
            </w:r>
          </w:p>
        </w:tc>
      </w:tr>
      <w:tr w:rsidR="007C0D43" w:rsidRPr="007C0D43" w:rsidTr="007C0D4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>Контроль производственного процесса и хода реализации инвестиционных проектов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D43" w:rsidRPr="007C0D43" w:rsidRDefault="007C0D43" w:rsidP="007C0D43">
            <w:pPr>
              <w:spacing w:before="136" w:after="136"/>
              <w:ind w:firstLine="709"/>
              <w:jc w:val="both"/>
              <w:rPr>
                <w:color w:val="3E4447"/>
              </w:rPr>
            </w:pPr>
            <w:r w:rsidRPr="007C0D43">
              <w:rPr>
                <w:color w:val="3E4447"/>
              </w:rPr>
              <w:t xml:space="preserve">В процессе </w:t>
            </w:r>
            <w:proofErr w:type="spellStart"/>
            <w:proofErr w:type="gramStart"/>
            <w:r w:rsidRPr="007C0D43">
              <w:rPr>
                <w:color w:val="3E4447"/>
              </w:rPr>
              <w:t>риск-менеджмента</w:t>
            </w:r>
            <w:proofErr w:type="spellEnd"/>
            <w:proofErr w:type="gramEnd"/>
            <w:r w:rsidRPr="007C0D43">
              <w:rPr>
                <w:color w:val="3E4447"/>
              </w:rPr>
              <w:t xml:space="preserve"> особое внимание уделяется вопросам, связанным с мониторингом и измерением параметров бизнес-процессов, что обеспечивает четкий контроль реализации инвестиционных программ</w:t>
            </w:r>
          </w:p>
        </w:tc>
      </w:tr>
    </w:tbl>
    <w:p w:rsidR="007C0D43" w:rsidRPr="007C0D43" w:rsidRDefault="007C0D43" w:rsidP="007C0D43">
      <w:pPr>
        <w:shd w:val="clear" w:color="auto" w:fill="FFFFFF"/>
        <w:ind w:firstLine="709"/>
        <w:jc w:val="both"/>
        <w:outlineLvl w:val="2"/>
        <w:rPr>
          <w:b/>
          <w:bCs/>
          <w:color w:val="3E4447"/>
        </w:rPr>
      </w:pPr>
      <w:r w:rsidRPr="007C0D43">
        <w:rPr>
          <w:b/>
          <w:bCs/>
          <w:color w:val="3E4447"/>
        </w:rPr>
        <w:t xml:space="preserve">Область применения </w:t>
      </w:r>
      <w:proofErr w:type="spellStart"/>
      <w:proofErr w:type="gramStart"/>
      <w:r w:rsidRPr="007C0D43">
        <w:rPr>
          <w:b/>
          <w:bCs/>
          <w:color w:val="3E4447"/>
        </w:rPr>
        <w:t>риск-менеджмента</w:t>
      </w:r>
      <w:proofErr w:type="spellEnd"/>
      <w:proofErr w:type="gramEnd"/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 xml:space="preserve">Процесс </w:t>
      </w:r>
      <w:proofErr w:type="spellStart"/>
      <w:proofErr w:type="gramStart"/>
      <w:r w:rsidRPr="007C0D43">
        <w:rPr>
          <w:color w:val="3E4447"/>
        </w:rPr>
        <w:t>риск-менеджмента</w:t>
      </w:r>
      <w:proofErr w:type="spellEnd"/>
      <w:proofErr w:type="gramEnd"/>
      <w:r w:rsidRPr="007C0D43">
        <w:rPr>
          <w:color w:val="3E4447"/>
        </w:rPr>
        <w:t xml:space="preserve"> должен сопровождать управляющие решения на всех уровнях менеджмента организации (например, на высшем уровне, на уровне структурных подразделений или проектной группы), поэтому управление рисками необходимо интегрировать в менеджмент бизнес-процессов или их составных частей (этапов).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>Процесс управления рисками должен сопровождать планирование и принятие решений по наиболее важным вопросам. Это относится, прежде всего, к изменениям в политике, представлению новых стратегий и процедур, управлению проектами, крупным денежным инвестициям или оптимизации внутренних организационных конфликтов и противоречий.</w:t>
      </w:r>
    </w:p>
    <w:p w:rsidR="007C0D43" w:rsidRPr="007C0D43" w:rsidRDefault="007C0D43" w:rsidP="007C0D43">
      <w:pPr>
        <w:shd w:val="clear" w:color="auto" w:fill="FFFFFF"/>
        <w:spacing w:before="136" w:after="136"/>
        <w:ind w:firstLine="709"/>
        <w:jc w:val="both"/>
        <w:rPr>
          <w:color w:val="3E4447"/>
        </w:rPr>
      </w:pPr>
      <w:r w:rsidRPr="007C0D43">
        <w:rPr>
          <w:color w:val="3E4447"/>
        </w:rPr>
        <w:t xml:space="preserve">В прикладном аспекте у процесса </w:t>
      </w:r>
      <w:proofErr w:type="spellStart"/>
      <w:proofErr w:type="gramStart"/>
      <w:r w:rsidRPr="007C0D43">
        <w:rPr>
          <w:color w:val="3E4447"/>
        </w:rPr>
        <w:t>риск-менеджмента</w:t>
      </w:r>
      <w:proofErr w:type="spellEnd"/>
      <w:proofErr w:type="gramEnd"/>
      <w:r w:rsidRPr="007C0D43">
        <w:rPr>
          <w:color w:val="3E4447"/>
        </w:rPr>
        <w:t xml:space="preserve"> есть ряд практических сфер применения. Приведем их ориентировочный перечень: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Стратегическое, операционное и бюджетное планирование.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Управление активами и планирование распределения ресурсов.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Изменения в предпринимательской деятельности (стратегические, технологические и организационные).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Проектирование и разработка новых видов продукции.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Менеджмент качества.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Социальные аспекты взаимодействия с общественностью.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Экология и охрана окружающей среды.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Кодекс деловой и профессиональной этики.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Информационная безопасность.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lastRenderedPageBreak/>
        <w:t>Вопросы гражданской ответственности.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Анализ требований потребителя для оценки возможности их выполнения.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Оценка соответствия бизнес-процессов предъявляемым к ним требованиям.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Управление профессиональной безопасностью и охраной труда.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Управление проектами.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Управление контрактами, поставщиками и закупками.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Управление субподрядными организациями.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Управление персоналом.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>Корпоративное управление.</w:t>
      </w:r>
    </w:p>
    <w:p w:rsidR="007C0D43" w:rsidRPr="007C0D43" w:rsidRDefault="007C0D43" w:rsidP="007C0D43">
      <w:pPr>
        <w:numPr>
          <w:ilvl w:val="0"/>
          <w:numId w:val="10"/>
        </w:numPr>
        <w:shd w:val="clear" w:color="auto" w:fill="FFFFFF"/>
        <w:spacing w:before="136" w:after="100" w:afterAutospacing="1"/>
        <w:ind w:left="408" w:firstLine="709"/>
        <w:jc w:val="both"/>
        <w:rPr>
          <w:color w:val="3E4447"/>
        </w:rPr>
      </w:pPr>
      <w:r w:rsidRPr="007C0D43">
        <w:rPr>
          <w:color w:val="3E4447"/>
        </w:rPr>
        <w:t xml:space="preserve">Размах процесса </w:t>
      </w:r>
      <w:proofErr w:type="spellStart"/>
      <w:proofErr w:type="gramStart"/>
      <w:r w:rsidRPr="007C0D43">
        <w:rPr>
          <w:color w:val="3E4447"/>
        </w:rPr>
        <w:t>риск-менеджмента</w:t>
      </w:r>
      <w:proofErr w:type="spellEnd"/>
      <w:proofErr w:type="gramEnd"/>
      <w:r w:rsidRPr="007C0D43">
        <w:rPr>
          <w:color w:val="3E4447"/>
        </w:rPr>
        <w:t xml:space="preserve"> зависит от значимости управляющих решений, которые должны быть приняты в ходе предпринимательской деятельности.</w:t>
      </w:r>
    </w:p>
    <w:p w:rsidR="007C0D43" w:rsidRDefault="007C0D43" w:rsidP="007C0D43">
      <w:pPr>
        <w:pStyle w:val="a3"/>
        <w:spacing w:line="360" w:lineRule="auto"/>
        <w:ind w:left="-993" w:right="-284" w:firstLine="851"/>
        <w:jc w:val="center"/>
        <w:rPr>
          <w:rFonts w:ascii="Times New Roman" w:hAnsi="Times New Roman"/>
          <w:b/>
        </w:rPr>
      </w:pPr>
    </w:p>
    <w:p w:rsidR="007C0D43" w:rsidRPr="0002438A" w:rsidRDefault="007C0D43" w:rsidP="007C0D43">
      <w:pPr>
        <w:pStyle w:val="a3"/>
        <w:spacing w:line="360" w:lineRule="auto"/>
        <w:ind w:left="-993" w:right="-284" w:firstLine="851"/>
        <w:jc w:val="center"/>
        <w:rPr>
          <w:rFonts w:ascii="Times New Roman" w:hAnsi="Times New Roman"/>
          <w:b/>
        </w:rPr>
      </w:pPr>
      <w:r w:rsidRPr="0002438A">
        <w:rPr>
          <w:rFonts w:ascii="Times New Roman" w:hAnsi="Times New Roman"/>
          <w:b/>
        </w:rPr>
        <w:t xml:space="preserve">Вопрос </w:t>
      </w:r>
      <w:r>
        <w:rPr>
          <w:rFonts w:ascii="Times New Roman" w:hAnsi="Times New Roman"/>
          <w:b/>
        </w:rPr>
        <w:t>2</w:t>
      </w:r>
      <w:r>
        <w:t xml:space="preserve">. </w:t>
      </w:r>
      <w:r w:rsidRPr="007C0D43">
        <w:rPr>
          <w:rFonts w:ascii="Times New Roman" w:hAnsi="Times New Roman"/>
          <w:b/>
        </w:rPr>
        <w:t>Финансовая среда организаций</w:t>
      </w:r>
    </w:p>
    <w:p w:rsidR="007C0D43" w:rsidRPr="0002438A" w:rsidRDefault="007C0D43" w:rsidP="007C0D43">
      <w:pPr>
        <w:spacing w:line="360" w:lineRule="auto"/>
        <w:ind w:left="-993" w:right="-284" w:firstLine="851"/>
      </w:pPr>
      <w:r w:rsidRPr="0002438A">
        <w:t>Предпринимательская деятельность – деятельность, направленная на получение наивысшей прибыли за счет минимума затрат.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t xml:space="preserve">В РФ предпринимательской деятельности имеют право заниматься физические и юридические лица. Физические лица в виде ИП, юридические лица в виде коммерческих и не коммерческих организаций 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t xml:space="preserve">Финансовая среда предпринимательства – совокупность хозяйствующих субъектов, действующих вне данного предприятия и влияющих на возможности финансового менеджмента, размещать денежные средства и получать доходы. 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t xml:space="preserve">Финансовая среда предпринимательства состоит из микро и макро среды. </w:t>
      </w:r>
    </w:p>
    <w:p w:rsidR="007C0D43" w:rsidRPr="0002438A" w:rsidRDefault="007C0D43" w:rsidP="007C0D43">
      <w:pPr>
        <w:spacing w:line="360" w:lineRule="auto"/>
        <w:ind w:left="-993" w:right="-284" w:firstLine="851"/>
      </w:pPr>
      <w:r>
        <w:rPr>
          <w:noProof/>
        </w:rPr>
        <w:lastRenderedPageBreak/>
        <w:drawing>
          <wp:inline distT="0" distB="0" distL="0" distR="0">
            <wp:extent cx="6530340" cy="3726815"/>
            <wp:effectExtent l="19050" t="0" r="381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372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rPr>
          <w:u w:val="single"/>
        </w:rPr>
        <w:t xml:space="preserve">Поставщиками </w:t>
      </w:r>
      <w:r w:rsidRPr="0002438A">
        <w:t>являются юридические и физические лица, обеспечивающее предприятие и его конкурентов производственными запасами, необходимыми для выпуска годовой продукции. Влияние поставщиков на финансовую деятельность предприятия значительно и может привести к отрицательным результатам: повышение цен на сырье и материалы, не поставки или сбои в поставки, вынуждает предприятие делать крупные страховые запасы этих материалов. Это приводит к увеличению себестоимости производства и привлечению в оборот дополнительных средств.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rPr>
          <w:u w:val="single"/>
        </w:rPr>
        <w:t>Посредниками</w:t>
      </w:r>
      <w:r w:rsidRPr="0002438A">
        <w:t xml:space="preserve"> являются организации, помогающие предприятию, продвижению, распространению и сбыта готовой продукции среди покупателей и таким образом влияющие на величину получаемых доходов.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t xml:space="preserve">Посредники делятся </w:t>
      </w:r>
      <w:proofErr w:type="gramStart"/>
      <w:r w:rsidRPr="0002438A">
        <w:t>на</w:t>
      </w:r>
      <w:proofErr w:type="gramEnd"/>
      <w:r w:rsidRPr="0002438A">
        <w:t>:</w:t>
      </w:r>
    </w:p>
    <w:p w:rsidR="007C0D43" w:rsidRPr="0002438A" w:rsidRDefault="007C0D43" w:rsidP="007C0D43">
      <w:pPr>
        <w:pStyle w:val="a3"/>
        <w:numPr>
          <w:ilvl w:val="0"/>
          <w:numId w:val="2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r w:rsidRPr="0002438A">
        <w:rPr>
          <w:rFonts w:ascii="Times New Roman" w:hAnsi="Times New Roman"/>
        </w:rPr>
        <w:t xml:space="preserve">торговые. Представляют собой организации, помогающие данному предприятию находит покупателей и не </w:t>
      </w:r>
      <w:proofErr w:type="gramStart"/>
      <w:r w:rsidRPr="0002438A">
        <w:rPr>
          <w:rFonts w:ascii="Times New Roman" w:hAnsi="Times New Roman"/>
        </w:rPr>
        <w:t>посредственно</w:t>
      </w:r>
      <w:proofErr w:type="gramEnd"/>
      <w:r w:rsidRPr="0002438A">
        <w:rPr>
          <w:rFonts w:ascii="Times New Roman" w:hAnsi="Times New Roman"/>
        </w:rPr>
        <w:t xml:space="preserve"> продавать им готовую продукцию. Необходимость их существования обусловлено тем, что они обеспечивают удобные условия продажи готовой продукции с меньшими издержками, чем это сделал бы сам производитель. </w:t>
      </w:r>
    </w:p>
    <w:p w:rsidR="007C0D43" w:rsidRPr="0002438A" w:rsidRDefault="007C0D43" w:rsidP="007C0D43">
      <w:pPr>
        <w:pStyle w:val="a3"/>
        <w:numPr>
          <w:ilvl w:val="0"/>
          <w:numId w:val="3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r w:rsidRPr="0002438A">
        <w:rPr>
          <w:rFonts w:ascii="Times New Roman" w:hAnsi="Times New Roman"/>
        </w:rPr>
        <w:t xml:space="preserve">Удобство расположения создается дилерами за счет накопления запаса готовой продукции в местах нахождения самих покупателей посредники по организации товародвижения. </w:t>
      </w:r>
    </w:p>
    <w:p w:rsidR="007C0D43" w:rsidRPr="0002438A" w:rsidRDefault="007C0D43" w:rsidP="007C0D43">
      <w:pPr>
        <w:pStyle w:val="a3"/>
        <w:numPr>
          <w:ilvl w:val="0"/>
          <w:numId w:val="3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r w:rsidRPr="0002438A">
        <w:rPr>
          <w:rFonts w:ascii="Times New Roman" w:hAnsi="Times New Roman"/>
        </w:rPr>
        <w:t>Удобство времени создается наличием готовой продукции в те периоды, когда спрос на нее особенно велик, что важно для товаров сезонного продвижения и пользования. Обладают достаточной мощью и в состоянии диктовать свои условия производителю, либо вообще не допустить его на рынке сбыта. Первичным звеном является производитель в силу приоритетности в сфере материального производства, по сравнению со сферой распределения.</w:t>
      </w:r>
    </w:p>
    <w:p w:rsidR="007C0D43" w:rsidRPr="0002438A" w:rsidRDefault="007C0D43" w:rsidP="007C0D43">
      <w:pPr>
        <w:pStyle w:val="a3"/>
        <w:numPr>
          <w:ilvl w:val="0"/>
          <w:numId w:val="2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r w:rsidRPr="0002438A">
        <w:rPr>
          <w:rFonts w:ascii="Times New Roman" w:hAnsi="Times New Roman"/>
        </w:rPr>
        <w:lastRenderedPageBreak/>
        <w:t xml:space="preserve">Посредники по организации товародвижения. Помогают создавать запасы </w:t>
      </w:r>
      <w:proofErr w:type="gramStart"/>
      <w:r w:rsidRPr="0002438A">
        <w:rPr>
          <w:rFonts w:ascii="Times New Roman" w:hAnsi="Times New Roman"/>
        </w:rPr>
        <w:t>собственный</w:t>
      </w:r>
      <w:proofErr w:type="gramEnd"/>
      <w:r w:rsidRPr="0002438A">
        <w:rPr>
          <w:rFonts w:ascii="Times New Roman" w:hAnsi="Times New Roman"/>
        </w:rPr>
        <w:t xml:space="preserve"> изделий и осуществлять их транспортировку  от мест производства до мест назначения. К ним относятся складские и транспортные организации. </w:t>
      </w:r>
    </w:p>
    <w:p w:rsidR="007C0D43" w:rsidRPr="0002438A" w:rsidRDefault="007C0D43" w:rsidP="007C0D43">
      <w:pPr>
        <w:pStyle w:val="a3"/>
        <w:numPr>
          <w:ilvl w:val="0"/>
          <w:numId w:val="2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r w:rsidRPr="0002438A">
        <w:rPr>
          <w:rFonts w:ascii="Times New Roman" w:hAnsi="Times New Roman"/>
        </w:rPr>
        <w:t>Маркетинговые посредники. Организации, занимающиеся маркетинговыми исследованиями, проблемами предпринимательского риска, консалтинговые фирмы, рекламные агентства.</w:t>
      </w:r>
    </w:p>
    <w:p w:rsidR="007C0D43" w:rsidRPr="0002438A" w:rsidRDefault="007C0D43" w:rsidP="007C0D43">
      <w:pPr>
        <w:pStyle w:val="a3"/>
        <w:numPr>
          <w:ilvl w:val="0"/>
          <w:numId w:val="2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r w:rsidRPr="0002438A">
        <w:rPr>
          <w:rFonts w:ascii="Times New Roman" w:hAnsi="Times New Roman"/>
        </w:rPr>
        <w:t xml:space="preserve">финансовые ( финансово – кредитные) – банки, кредитные учреждения, страховые </w:t>
      </w:r>
      <w:proofErr w:type="spellStart"/>
      <w:r w:rsidRPr="0002438A">
        <w:rPr>
          <w:rFonts w:ascii="Times New Roman" w:hAnsi="Times New Roman"/>
        </w:rPr>
        <w:t>компании</w:t>
      </w:r>
      <w:proofErr w:type="gramStart"/>
      <w:r w:rsidRPr="0002438A">
        <w:rPr>
          <w:rFonts w:ascii="Times New Roman" w:hAnsi="Times New Roman"/>
        </w:rPr>
        <w:t>.п</w:t>
      </w:r>
      <w:proofErr w:type="gramEnd"/>
      <w:r w:rsidRPr="0002438A">
        <w:rPr>
          <w:rFonts w:ascii="Times New Roman" w:hAnsi="Times New Roman"/>
        </w:rPr>
        <w:t>рактически</w:t>
      </w:r>
      <w:proofErr w:type="spellEnd"/>
      <w:r w:rsidRPr="0002438A">
        <w:rPr>
          <w:rFonts w:ascii="Times New Roman" w:hAnsi="Times New Roman"/>
        </w:rPr>
        <w:t xml:space="preserve"> все предприятия пользуются их помощью при финансировании сделок. Существенное влияние на финансовое положение предприятие могут оказать повышение стоимости кредита, ужесточения требований по получении кредитов, повышений требований при осуществлении обязательного страхования. </w:t>
      </w:r>
    </w:p>
    <w:p w:rsidR="007C0D43" w:rsidRPr="0002438A" w:rsidRDefault="007C0D43" w:rsidP="007C0D43">
      <w:pPr>
        <w:spacing w:line="360" w:lineRule="auto"/>
        <w:ind w:left="-993" w:right="-284" w:firstLine="851"/>
        <w:rPr>
          <w:u w:val="single"/>
        </w:rPr>
      </w:pPr>
      <w:r w:rsidRPr="0002438A">
        <w:rPr>
          <w:u w:val="single"/>
        </w:rPr>
        <w:t>Покупатели:</w:t>
      </w:r>
    </w:p>
    <w:p w:rsidR="007C0D43" w:rsidRPr="0002438A" w:rsidRDefault="007C0D43" w:rsidP="007C0D43">
      <w:pPr>
        <w:pStyle w:val="a3"/>
        <w:numPr>
          <w:ilvl w:val="0"/>
          <w:numId w:val="4"/>
        </w:numPr>
        <w:spacing w:line="360" w:lineRule="auto"/>
        <w:ind w:left="-993" w:right="-284" w:firstLine="851"/>
        <w:contextualSpacing/>
        <w:rPr>
          <w:rFonts w:ascii="Times New Roman" w:hAnsi="Times New Roman"/>
        </w:rPr>
      </w:pPr>
      <w:r w:rsidRPr="0002438A">
        <w:rPr>
          <w:rFonts w:ascii="Times New Roman" w:hAnsi="Times New Roman"/>
        </w:rPr>
        <w:t xml:space="preserve">Покупатели потребительского рынка – физические лица, приобретающие товары или услуги в целях личного потребления </w:t>
      </w:r>
    </w:p>
    <w:p w:rsidR="007C0D43" w:rsidRPr="0002438A" w:rsidRDefault="007C0D43" w:rsidP="007C0D43">
      <w:pPr>
        <w:pStyle w:val="a3"/>
        <w:numPr>
          <w:ilvl w:val="0"/>
          <w:numId w:val="4"/>
        </w:numPr>
        <w:spacing w:line="360" w:lineRule="auto"/>
        <w:ind w:left="-993" w:right="-284" w:firstLine="851"/>
        <w:contextualSpacing/>
        <w:rPr>
          <w:rFonts w:ascii="Times New Roman" w:hAnsi="Times New Roman"/>
        </w:rPr>
      </w:pPr>
      <w:r w:rsidRPr="0002438A">
        <w:rPr>
          <w:rFonts w:ascii="Times New Roman" w:hAnsi="Times New Roman"/>
        </w:rPr>
        <w:t xml:space="preserve">Покупатели рынка производителей – организации приобретающие товары или услуги для использования собственного производства и для управления фирмой. </w:t>
      </w:r>
    </w:p>
    <w:p w:rsidR="007C0D43" w:rsidRPr="0002438A" w:rsidRDefault="007C0D43" w:rsidP="007C0D43">
      <w:pPr>
        <w:pStyle w:val="a3"/>
        <w:numPr>
          <w:ilvl w:val="0"/>
          <w:numId w:val="4"/>
        </w:numPr>
        <w:spacing w:line="360" w:lineRule="auto"/>
        <w:ind w:left="-993" w:right="-284" w:firstLine="851"/>
        <w:contextualSpacing/>
        <w:rPr>
          <w:rFonts w:ascii="Times New Roman" w:hAnsi="Times New Roman"/>
        </w:rPr>
      </w:pPr>
      <w:r w:rsidRPr="0002438A">
        <w:rPr>
          <w:rFonts w:ascii="Times New Roman" w:hAnsi="Times New Roman"/>
        </w:rPr>
        <w:t>Покупатели рынка промежуточных продавцов – физические и юридические лица, приобретающие товары для последующей перепродажи.</w:t>
      </w:r>
    </w:p>
    <w:p w:rsidR="007C0D43" w:rsidRPr="0002438A" w:rsidRDefault="007C0D43" w:rsidP="007C0D43">
      <w:pPr>
        <w:pStyle w:val="a3"/>
        <w:numPr>
          <w:ilvl w:val="0"/>
          <w:numId w:val="4"/>
        </w:numPr>
        <w:spacing w:line="360" w:lineRule="auto"/>
        <w:ind w:left="-993" w:right="-284" w:firstLine="851"/>
        <w:contextualSpacing/>
        <w:rPr>
          <w:rFonts w:ascii="Times New Roman" w:hAnsi="Times New Roman"/>
        </w:rPr>
      </w:pPr>
      <w:r w:rsidRPr="0002438A">
        <w:rPr>
          <w:rFonts w:ascii="Times New Roman" w:hAnsi="Times New Roman"/>
        </w:rPr>
        <w:t xml:space="preserve">Покупатели государственные учреждения, приобретающие товары или услуги в целях внутреннего потребления, для использования в сфере коммунальных услуг, а так же в целях благотворительности. 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rPr>
          <w:u w:val="single"/>
        </w:rPr>
        <w:t>Конкуренты</w:t>
      </w:r>
      <w:r w:rsidRPr="0002438A">
        <w:t xml:space="preserve">. При определении конкурента в первую очередь выделяют желания конкуренты, те желания или потребности, которые человек хочет удовлетворить. 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proofErr w:type="spellStart"/>
      <w:r w:rsidRPr="0002438A">
        <w:t>Товарно</w:t>
      </w:r>
      <w:proofErr w:type="spellEnd"/>
      <w:r w:rsidRPr="0002438A">
        <w:t xml:space="preserve"> – родовые конкуренты – основные способы удовлетворения желания или потребности с помощью приобретения определенных видов товаров или услуг.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proofErr w:type="spellStart"/>
      <w:r w:rsidRPr="0002438A">
        <w:t>Товарно</w:t>
      </w:r>
      <w:proofErr w:type="spellEnd"/>
      <w:r w:rsidRPr="0002438A">
        <w:t xml:space="preserve">  - видовые конкуренты – разновидности одного и того же товара способного удовлетворить конкретное желание покупателя.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t xml:space="preserve">Марки – конкуренты – товары разных производителей, способные удовлетворить окончательно определившееся желание покупателя. 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t xml:space="preserve">Понимание того, как именно покупатели </w:t>
      </w:r>
      <w:proofErr w:type="gramStart"/>
      <w:r w:rsidRPr="0002438A">
        <w:t>принимают решения облегчает</w:t>
      </w:r>
      <w:proofErr w:type="gramEnd"/>
      <w:r w:rsidRPr="0002438A">
        <w:t xml:space="preserve"> финансовому менеджменту выявление возможных конкурентов, мешающие предприятию продавать больше своей продукции. Основополагающей является конкуренция марок – конкурентов, так как они активно ограничивают возможности сбыта готовой продукции и получения доходов предприятия. </w:t>
      </w:r>
    </w:p>
    <w:p w:rsidR="007C0D43" w:rsidRPr="0002438A" w:rsidRDefault="007C0D43" w:rsidP="007C0D43">
      <w:pPr>
        <w:spacing w:line="360" w:lineRule="auto"/>
        <w:ind w:left="-993" w:right="-284" w:firstLine="851"/>
      </w:pPr>
      <w:r w:rsidRPr="0002438A">
        <w:rPr>
          <w:u w:val="single"/>
        </w:rPr>
        <w:t>Контактные аудитории</w:t>
      </w:r>
      <w:r w:rsidRPr="0002438A">
        <w:t xml:space="preserve"> классифицируют по двум признакам:</w:t>
      </w:r>
    </w:p>
    <w:p w:rsidR="007C0D43" w:rsidRPr="0002438A" w:rsidRDefault="007C0D43" w:rsidP="007C0D43">
      <w:pPr>
        <w:pStyle w:val="a3"/>
        <w:numPr>
          <w:ilvl w:val="0"/>
          <w:numId w:val="5"/>
        </w:numPr>
        <w:spacing w:line="360" w:lineRule="auto"/>
        <w:ind w:left="-993" w:right="-284" w:firstLine="851"/>
        <w:contextualSpacing/>
        <w:rPr>
          <w:rFonts w:ascii="Times New Roman" w:hAnsi="Times New Roman"/>
        </w:rPr>
      </w:pPr>
      <w:r w:rsidRPr="0002438A">
        <w:rPr>
          <w:rFonts w:ascii="Times New Roman" w:hAnsi="Times New Roman"/>
        </w:rPr>
        <w:t>По характеру воздействия на интересы предприятия</w:t>
      </w:r>
    </w:p>
    <w:p w:rsidR="007C0D43" w:rsidRPr="0002438A" w:rsidRDefault="007C0D43" w:rsidP="007C0D43">
      <w:pPr>
        <w:pStyle w:val="a3"/>
        <w:numPr>
          <w:ilvl w:val="0"/>
          <w:numId w:val="5"/>
        </w:numPr>
        <w:spacing w:line="360" w:lineRule="auto"/>
        <w:ind w:left="-993" w:right="-284" w:firstLine="851"/>
        <w:contextualSpacing/>
        <w:rPr>
          <w:rFonts w:ascii="Times New Roman" w:hAnsi="Times New Roman"/>
        </w:rPr>
      </w:pPr>
      <w:r w:rsidRPr="0002438A">
        <w:rPr>
          <w:rFonts w:ascii="Times New Roman" w:hAnsi="Times New Roman"/>
        </w:rPr>
        <w:lastRenderedPageBreak/>
        <w:t>По содержанию самих контактных аудиторий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t>Контактная аудитория  - любая группа, которая проявляет интерес, деятельности данного предприятия и может оказать влияния на его способность извлекать доход от продажи готовой продукции или услуг в процессе хозяйственной деятельности.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t xml:space="preserve"> По характеру воздействия контактные аудитории могут быть</w:t>
      </w:r>
    </w:p>
    <w:p w:rsidR="007C0D43" w:rsidRPr="0002438A" w:rsidRDefault="007C0D43" w:rsidP="007C0D43">
      <w:pPr>
        <w:pStyle w:val="a3"/>
        <w:numPr>
          <w:ilvl w:val="0"/>
          <w:numId w:val="6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proofErr w:type="gramStart"/>
      <w:r w:rsidRPr="0002438A">
        <w:rPr>
          <w:rFonts w:ascii="Times New Roman" w:hAnsi="Times New Roman"/>
        </w:rPr>
        <w:t>Благотворными</w:t>
      </w:r>
      <w:proofErr w:type="gramEnd"/>
      <w:r w:rsidRPr="0002438A">
        <w:rPr>
          <w:rFonts w:ascii="Times New Roman" w:hAnsi="Times New Roman"/>
        </w:rPr>
        <w:t xml:space="preserve"> – те группы, внимание которым предприятию носит заинтересованный, положительный характер. </w:t>
      </w:r>
    </w:p>
    <w:p w:rsidR="007C0D43" w:rsidRPr="0002438A" w:rsidRDefault="007C0D43" w:rsidP="007C0D43">
      <w:pPr>
        <w:pStyle w:val="a3"/>
        <w:numPr>
          <w:ilvl w:val="0"/>
          <w:numId w:val="6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r w:rsidRPr="0002438A">
        <w:rPr>
          <w:rFonts w:ascii="Times New Roman" w:hAnsi="Times New Roman"/>
        </w:rPr>
        <w:t xml:space="preserve"> Искомыми – те группы, в которых заинтересовано само предприятие, но не всегда их находит.</w:t>
      </w:r>
    </w:p>
    <w:p w:rsidR="007C0D43" w:rsidRPr="0002438A" w:rsidRDefault="007C0D43" w:rsidP="007C0D43">
      <w:pPr>
        <w:pStyle w:val="a3"/>
        <w:numPr>
          <w:ilvl w:val="0"/>
          <w:numId w:val="6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r w:rsidRPr="0002438A">
        <w:rPr>
          <w:rFonts w:ascii="Times New Roman" w:hAnsi="Times New Roman"/>
        </w:rPr>
        <w:t xml:space="preserve"> Нежелательными – те группы, интерес которых предприятие не должно привлекать, но обязательно вынуждено считаться с ним, если оно проявляется.</w:t>
      </w:r>
    </w:p>
    <w:p w:rsidR="007C0D43" w:rsidRPr="0002438A" w:rsidRDefault="007C0D43" w:rsidP="007C0D43">
      <w:pPr>
        <w:spacing w:line="360" w:lineRule="auto"/>
        <w:ind w:left="-993" w:right="-284" w:firstLine="851"/>
      </w:pPr>
      <w:r w:rsidRPr="0002438A">
        <w:t xml:space="preserve">По содержанию контактные аудитории классифицируются </w:t>
      </w:r>
      <w:proofErr w:type="gramStart"/>
      <w:r w:rsidRPr="0002438A">
        <w:t>на</w:t>
      </w:r>
      <w:proofErr w:type="gramEnd"/>
    </w:p>
    <w:p w:rsidR="007C0D43" w:rsidRPr="0002438A" w:rsidRDefault="007C0D43" w:rsidP="007C0D43">
      <w:pPr>
        <w:pStyle w:val="a3"/>
        <w:numPr>
          <w:ilvl w:val="0"/>
          <w:numId w:val="7"/>
        </w:numPr>
        <w:spacing w:line="360" w:lineRule="auto"/>
        <w:ind w:left="-993" w:right="-284" w:firstLine="851"/>
        <w:contextualSpacing/>
        <w:rPr>
          <w:rFonts w:ascii="Times New Roman" w:hAnsi="Times New Roman"/>
        </w:rPr>
      </w:pPr>
      <w:r w:rsidRPr="0002438A">
        <w:rPr>
          <w:rFonts w:ascii="Times New Roman" w:hAnsi="Times New Roman"/>
        </w:rPr>
        <w:t>Финансовые круги</w:t>
      </w:r>
    </w:p>
    <w:p w:rsidR="007C0D43" w:rsidRPr="0002438A" w:rsidRDefault="007C0D43" w:rsidP="007C0D43">
      <w:pPr>
        <w:pStyle w:val="a3"/>
        <w:numPr>
          <w:ilvl w:val="0"/>
          <w:numId w:val="7"/>
        </w:numPr>
        <w:spacing w:line="360" w:lineRule="auto"/>
        <w:ind w:left="-993" w:right="-284" w:firstLine="851"/>
        <w:contextualSpacing/>
        <w:rPr>
          <w:rFonts w:ascii="Times New Roman" w:hAnsi="Times New Roman"/>
        </w:rPr>
      </w:pPr>
      <w:r w:rsidRPr="0002438A">
        <w:rPr>
          <w:rFonts w:ascii="Times New Roman" w:hAnsi="Times New Roman"/>
        </w:rPr>
        <w:t>Группы средств информации</w:t>
      </w:r>
    </w:p>
    <w:p w:rsidR="007C0D43" w:rsidRPr="0002438A" w:rsidRDefault="007C0D43" w:rsidP="007C0D43">
      <w:pPr>
        <w:pStyle w:val="a3"/>
        <w:numPr>
          <w:ilvl w:val="0"/>
          <w:numId w:val="7"/>
        </w:numPr>
        <w:spacing w:line="360" w:lineRule="auto"/>
        <w:ind w:left="-993" w:right="-284" w:firstLine="851"/>
        <w:contextualSpacing/>
        <w:rPr>
          <w:rFonts w:ascii="Times New Roman" w:hAnsi="Times New Roman"/>
        </w:rPr>
      </w:pPr>
      <w:r w:rsidRPr="0002438A">
        <w:rPr>
          <w:rFonts w:ascii="Times New Roman" w:hAnsi="Times New Roman"/>
        </w:rPr>
        <w:t>Группы государственных учреждений</w:t>
      </w:r>
    </w:p>
    <w:p w:rsidR="007C0D43" w:rsidRPr="0002438A" w:rsidRDefault="007C0D43" w:rsidP="007C0D43">
      <w:pPr>
        <w:pStyle w:val="a3"/>
        <w:numPr>
          <w:ilvl w:val="0"/>
          <w:numId w:val="7"/>
        </w:numPr>
        <w:spacing w:line="360" w:lineRule="auto"/>
        <w:ind w:left="-993" w:right="-284" w:firstLine="851"/>
        <w:contextualSpacing/>
        <w:rPr>
          <w:rFonts w:ascii="Times New Roman" w:hAnsi="Times New Roman"/>
        </w:rPr>
      </w:pPr>
      <w:r w:rsidRPr="0002438A">
        <w:rPr>
          <w:rFonts w:ascii="Times New Roman" w:hAnsi="Times New Roman"/>
        </w:rPr>
        <w:t xml:space="preserve">Гражданские группы действий </w:t>
      </w:r>
    </w:p>
    <w:p w:rsidR="007C0D43" w:rsidRPr="0002438A" w:rsidRDefault="007C0D43" w:rsidP="007C0D43">
      <w:pPr>
        <w:pStyle w:val="a3"/>
        <w:numPr>
          <w:ilvl w:val="0"/>
          <w:numId w:val="7"/>
        </w:numPr>
        <w:spacing w:line="360" w:lineRule="auto"/>
        <w:ind w:left="-993" w:right="-284" w:firstLine="851"/>
        <w:contextualSpacing/>
        <w:rPr>
          <w:rFonts w:ascii="Times New Roman" w:hAnsi="Times New Roman"/>
        </w:rPr>
      </w:pPr>
      <w:r w:rsidRPr="0002438A">
        <w:rPr>
          <w:rFonts w:ascii="Times New Roman" w:hAnsi="Times New Roman"/>
        </w:rPr>
        <w:t>Местные группы</w:t>
      </w:r>
    </w:p>
    <w:p w:rsidR="007C0D43" w:rsidRPr="0002438A" w:rsidRDefault="007C0D43" w:rsidP="007C0D43">
      <w:pPr>
        <w:pStyle w:val="a3"/>
        <w:numPr>
          <w:ilvl w:val="0"/>
          <w:numId w:val="7"/>
        </w:numPr>
        <w:spacing w:line="360" w:lineRule="auto"/>
        <w:ind w:left="-993" w:right="-284" w:firstLine="851"/>
        <w:contextualSpacing/>
        <w:rPr>
          <w:rFonts w:ascii="Times New Roman" w:hAnsi="Times New Roman"/>
        </w:rPr>
      </w:pPr>
      <w:r w:rsidRPr="0002438A">
        <w:rPr>
          <w:rFonts w:ascii="Times New Roman" w:hAnsi="Times New Roman"/>
        </w:rPr>
        <w:t>Широкую публику</w:t>
      </w:r>
    </w:p>
    <w:p w:rsidR="007C0D43" w:rsidRPr="0002438A" w:rsidRDefault="007C0D43" w:rsidP="007C0D43">
      <w:pPr>
        <w:pStyle w:val="a3"/>
        <w:numPr>
          <w:ilvl w:val="0"/>
          <w:numId w:val="7"/>
        </w:numPr>
        <w:spacing w:line="360" w:lineRule="auto"/>
        <w:ind w:left="-993" w:right="-284" w:firstLine="851"/>
        <w:contextualSpacing/>
        <w:rPr>
          <w:rFonts w:ascii="Times New Roman" w:hAnsi="Times New Roman"/>
        </w:rPr>
      </w:pPr>
      <w:r w:rsidRPr="0002438A">
        <w:rPr>
          <w:rFonts w:ascii="Times New Roman" w:hAnsi="Times New Roman"/>
        </w:rPr>
        <w:t>Внутренние группы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t>Характеристика макросреды предпринимательства включает природный, технический, политический, экономический, демографический и культурные факторы.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t>Воздействие</w:t>
      </w:r>
      <w:r w:rsidRPr="0002438A">
        <w:rPr>
          <w:u w:val="single"/>
        </w:rPr>
        <w:t xml:space="preserve"> природного фактора</w:t>
      </w:r>
      <w:r w:rsidRPr="00FD06B1">
        <w:rPr>
          <w:u w:val="single"/>
        </w:rPr>
        <w:t xml:space="preserve"> </w:t>
      </w:r>
      <w:r w:rsidRPr="0002438A">
        <w:t xml:space="preserve">характеризуются определенным дефицитом некоторых вида сырья, тенденции к удорожанию энергоносителей, ростом загрязнения окружающей среды, изменение климата. Проблема истощения не возобновляемых природных ресурсов вынуждает искать им замену, удорожание традиционных ресурсов ведет к повышению себестоимости продукции. 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rPr>
          <w:u w:val="single"/>
        </w:rPr>
        <w:t>Воздействие технического фактора</w:t>
      </w:r>
      <w:r w:rsidRPr="0002438A">
        <w:t xml:space="preserve"> на среду предпринимательства проявляется ускорением НТП, возможностях новых технологий, в росте ассигнований на НИОКР, ужесточения государственного </w:t>
      </w:r>
      <w:proofErr w:type="gramStart"/>
      <w:r w:rsidRPr="0002438A">
        <w:t>контроля за</w:t>
      </w:r>
      <w:proofErr w:type="gramEnd"/>
      <w:r w:rsidRPr="0002438A">
        <w:t xml:space="preserve"> качеством и безопасностью товаров. Возможность новых технологий могут коренным образом преобразовать производственные процессы и в результате готовую продукцию. Абсолютная величина ассигнований на НИОКР возрастает во многих развитых странах в следующем порядке по отраслям промышленности:</w:t>
      </w:r>
    </w:p>
    <w:p w:rsidR="007C0D43" w:rsidRPr="0002438A" w:rsidRDefault="007C0D43" w:rsidP="007C0D43">
      <w:pPr>
        <w:pStyle w:val="a3"/>
        <w:numPr>
          <w:ilvl w:val="0"/>
          <w:numId w:val="8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proofErr w:type="spellStart"/>
      <w:r w:rsidRPr="0002438A">
        <w:rPr>
          <w:rFonts w:ascii="Times New Roman" w:hAnsi="Times New Roman"/>
        </w:rPr>
        <w:t>Ракетно</w:t>
      </w:r>
      <w:proofErr w:type="spellEnd"/>
      <w:r w:rsidRPr="0002438A">
        <w:rPr>
          <w:rFonts w:ascii="Times New Roman" w:hAnsi="Times New Roman"/>
        </w:rPr>
        <w:t xml:space="preserve"> </w:t>
      </w:r>
      <w:proofErr w:type="gramStart"/>
      <w:r w:rsidRPr="0002438A">
        <w:rPr>
          <w:rFonts w:ascii="Times New Roman" w:hAnsi="Times New Roman"/>
        </w:rPr>
        <w:t>–к</w:t>
      </w:r>
      <w:proofErr w:type="gramEnd"/>
      <w:r w:rsidRPr="0002438A">
        <w:rPr>
          <w:rFonts w:ascii="Times New Roman" w:hAnsi="Times New Roman"/>
        </w:rPr>
        <w:t>осмическая</w:t>
      </w:r>
    </w:p>
    <w:p w:rsidR="007C0D43" w:rsidRPr="0002438A" w:rsidRDefault="007C0D43" w:rsidP="007C0D43">
      <w:pPr>
        <w:pStyle w:val="a3"/>
        <w:numPr>
          <w:ilvl w:val="0"/>
          <w:numId w:val="8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r w:rsidRPr="0002438A">
        <w:rPr>
          <w:rFonts w:ascii="Times New Roman" w:hAnsi="Times New Roman"/>
        </w:rPr>
        <w:t xml:space="preserve">Авиационная </w:t>
      </w:r>
    </w:p>
    <w:p w:rsidR="007C0D43" w:rsidRPr="0002438A" w:rsidRDefault="007C0D43" w:rsidP="007C0D43">
      <w:pPr>
        <w:pStyle w:val="a3"/>
        <w:numPr>
          <w:ilvl w:val="0"/>
          <w:numId w:val="8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r w:rsidRPr="0002438A">
        <w:rPr>
          <w:rFonts w:ascii="Times New Roman" w:hAnsi="Times New Roman"/>
        </w:rPr>
        <w:t>Электротехническая</w:t>
      </w:r>
    </w:p>
    <w:p w:rsidR="007C0D43" w:rsidRPr="0002438A" w:rsidRDefault="007C0D43" w:rsidP="007C0D43">
      <w:pPr>
        <w:pStyle w:val="a3"/>
        <w:numPr>
          <w:ilvl w:val="0"/>
          <w:numId w:val="8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r w:rsidRPr="0002438A">
        <w:rPr>
          <w:rFonts w:ascii="Times New Roman" w:hAnsi="Times New Roman"/>
        </w:rPr>
        <w:t xml:space="preserve">Средства связи </w:t>
      </w:r>
    </w:p>
    <w:p w:rsidR="007C0D43" w:rsidRPr="0002438A" w:rsidRDefault="007C0D43" w:rsidP="007C0D43">
      <w:pPr>
        <w:pStyle w:val="a3"/>
        <w:numPr>
          <w:ilvl w:val="0"/>
          <w:numId w:val="8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r w:rsidRPr="0002438A">
        <w:rPr>
          <w:rFonts w:ascii="Times New Roman" w:hAnsi="Times New Roman"/>
        </w:rPr>
        <w:lastRenderedPageBreak/>
        <w:t>Химическая</w:t>
      </w:r>
    </w:p>
    <w:p w:rsidR="007C0D43" w:rsidRPr="0002438A" w:rsidRDefault="007C0D43" w:rsidP="007C0D43">
      <w:pPr>
        <w:pStyle w:val="a3"/>
        <w:numPr>
          <w:ilvl w:val="0"/>
          <w:numId w:val="8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r w:rsidRPr="0002438A">
        <w:rPr>
          <w:rFonts w:ascii="Times New Roman" w:hAnsi="Times New Roman"/>
        </w:rPr>
        <w:t xml:space="preserve">Машиностроительная </w:t>
      </w:r>
    </w:p>
    <w:p w:rsidR="007C0D43" w:rsidRPr="0002438A" w:rsidRDefault="007C0D43" w:rsidP="007C0D43">
      <w:pPr>
        <w:pStyle w:val="a3"/>
        <w:numPr>
          <w:ilvl w:val="0"/>
          <w:numId w:val="8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r w:rsidRPr="0002438A">
        <w:rPr>
          <w:rFonts w:ascii="Times New Roman" w:hAnsi="Times New Roman"/>
        </w:rPr>
        <w:t>Металлообрабатывающая</w:t>
      </w:r>
    </w:p>
    <w:p w:rsidR="007C0D43" w:rsidRPr="0002438A" w:rsidRDefault="007C0D43" w:rsidP="007C0D43">
      <w:pPr>
        <w:pStyle w:val="a3"/>
        <w:numPr>
          <w:ilvl w:val="0"/>
          <w:numId w:val="8"/>
        </w:numPr>
        <w:spacing w:line="360" w:lineRule="auto"/>
        <w:ind w:left="-993" w:right="-284" w:firstLine="851"/>
        <w:contextualSpacing/>
        <w:jc w:val="both"/>
        <w:rPr>
          <w:rFonts w:ascii="Times New Roman" w:hAnsi="Times New Roman"/>
        </w:rPr>
      </w:pPr>
      <w:proofErr w:type="spellStart"/>
      <w:r w:rsidRPr="0002438A">
        <w:rPr>
          <w:rFonts w:ascii="Times New Roman" w:hAnsi="Times New Roman"/>
        </w:rPr>
        <w:t>Автомобильно</w:t>
      </w:r>
      <w:proofErr w:type="spellEnd"/>
      <w:r w:rsidRPr="0002438A">
        <w:rPr>
          <w:rFonts w:ascii="Times New Roman" w:hAnsi="Times New Roman"/>
        </w:rPr>
        <w:t xml:space="preserve"> - транспортная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t xml:space="preserve">Ужесточение государственного контроля отражает растущие требования к этим предметам со стороны покупателей, а так же необходимость </w:t>
      </w:r>
      <w:proofErr w:type="gramStart"/>
      <w:r w:rsidRPr="0002438A">
        <w:t>избежание</w:t>
      </w:r>
      <w:proofErr w:type="gramEnd"/>
      <w:r w:rsidRPr="0002438A">
        <w:t xml:space="preserve"> аварий и техногенных катастроф.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rPr>
          <w:u w:val="single"/>
        </w:rPr>
        <w:t>Воздействие политического фактора</w:t>
      </w:r>
      <w:r w:rsidRPr="003D5B9E">
        <w:rPr>
          <w:u w:val="single"/>
        </w:rPr>
        <w:t xml:space="preserve"> </w:t>
      </w:r>
      <w:r w:rsidRPr="0002438A">
        <w:t xml:space="preserve">проявляется в увеличении числа законодательных актов, регулирующих эту деятельность  в области налогового законодательства, трудового законодательства, гражданского права и уголовного права.  Руководство должно отслеживать все изменения  и выстраивать свою деятельность в соответствии с ними. 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rPr>
          <w:u w:val="single"/>
        </w:rPr>
        <w:t xml:space="preserve">Экономическая </w:t>
      </w:r>
      <w:proofErr w:type="spellStart"/>
      <w:r w:rsidRPr="0002438A">
        <w:rPr>
          <w:u w:val="single"/>
        </w:rPr>
        <w:t>среда</w:t>
      </w:r>
      <w:proofErr w:type="gramStart"/>
      <w:r w:rsidRPr="0002438A">
        <w:rPr>
          <w:u w:val="single"/>
        </w:rPr>
        <w:t>.</w:t>
      </w:r>
      <w:r w:rsidRPr="0002438A">
        <w:t>В</w:t>
      </w:r>
      <w:proofErr w:type="gramEnd"/>
      <w:r w:rsidRPr="0002438A">
        <w:t>еличина</w:t>
      </w:r>
      <w:proofErr w:type="spellEnd"/>
      <w:r w:rsidRPr="0002438A">
        <w:t xml:space="preserve"> дохода конкретного предприятия во многом определяется уровнем покупательной способностью населения, который зависит от текущих доходов, сбережения населения, цен на готовую продукцию, от доступности кредита, а в более широком смысле от экономических спадов, финансовых кризисов, наличие безработицы. </w:t>
      </w:r>
    </w:p>
    <w:p w:rsidR="007C0D43" w:rsidRPr="0002438A" w:rsidRDefault="007C0D43" w:rsidP="007C0D43">
      <w:pPr>
        <w:spacing w:line="360" w:lineRule="auto"/>
        <w:ind w:left="-993" w:right="-284" w:firstLine="851"/>
        <w:jc w:val="both"/>
      </w:pPr>
      <w:r w:rsidRPr="0002438A">
        <w:rPr>
          <w:u w:val="single"/>
        </w:rPr>
        <w:t>Воздействие демографического фактора</w:t>
      </w:r>
      <w:r w:rsidRPr="0002438A">
        <w:t xml:space="preserve"> проявляется в резком увеличении рождаемости за счет развивающихся стран, снижение рождаемости и старения населения в промышленно развитых стран, повышение образовательного уровня и росте числа служащих. </w:t>
      </w:r>
    </w:p>
    <w:p w:rsidR="007C0D43" w:rsidRDefault="007C0D43" w:rsidP="007C0D43">
      <w:r w:rsidRPr="0002438A">
        <w:rPr>
          <w:u w:val="single"/>
        </w:rPr>
        <w:t>Воздействие культурного фактора</w:t>
      </w:r>
      <w:r w:rsidRPr="0002438A">
        <w:t xml:space="preserve"> характеризуется приверженностью большинства населения основным традиционным культурным ценностям, и возрастающим влиянием ценностей не традиционных.</w:t>
      </w:r>
    </w:p>
    <w:sectPr w:rsidR="007C0D43" w:rsidSect="00FE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896"/>
    <w:multiLevelType w:val="hybridMultilevel"/>
    <w:tmpl w:val="0B447D96"/>
    <w:lvl w:ilvl="0" w:tplc="686C75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546AA0"/>
    <w:multiLevelType w:val="multilevel"/>
    <w:tmpl w:val="99F6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20DFB"/>
    <w:multiLevelType w:val="hybridMultilevel"/>
    <w:tmpl w:val="2F9E07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4823BDD"/>
    <w:multiLevelType w:val="multilevel"/>
    <w:tmpl w:val="7CAE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FF39E4"/>
    <w:multiLevelType w:val="hybridMultilevel"/>
    <w:tmpl w:val="5CC8D184"/>
    <w:lvl w:ilvl="0" w:tplc="0419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5">
    <w:nsid w:val="41D66312"/>
    <w:multiLevelType w:val="hybridMultilevel"/>
    <w:tmpl w:val="B2E0BDD4"/>
    <w:lvl w:ilvl="0" w:tplc="0419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638779AE"/>
    <w:multiLevelType w:val="hybridMultilevel"/>
    <w:tmpl w:val="2462407C"/>
    <w:lvl w:ilvl="0" w:tplc="EFAAE1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6B759E2"/>
    <w:multiLevelType w:val="hybridMultilevel"/>
    <w:tmpl w:val="D6F2B10A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A2A0B90"/>
    <w:multiLevelType w:val="hybridMultilevel"/>
    <w:tmpl w:val="2D988F1C"/>
    <w:lvl w:ilvl="0" w:tplc="1E5C1E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9643307"/>
    <w:multiLevelType w:val="hybridMultilevel"/>
    <w:tmpl w:val="04D6C5F6"/>
    <w:lvl w:ilvl="0" w:tplc="D2D615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0D43"/>
    <w:rsid w:val="007C0D43"/>
    <w:rsid w:val="00FE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C0D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D43"/>
    <w:pPr>
      <w:ind w:left="720"/>
    </w:pPr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7C0D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D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0D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7C0D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2673</Words>
  <Characters>15239</Characters>
  <Application>Microsoft Office Word</Application>
  <DocSecurity>0</DocSecurity>
  <Lines>126</Lines>
  <Paragraphs>35</Paragraphs>
  <ScaleCrop>false</ScaleCrop>
  <Company/>
  <LinksUpToDate>false</LinksUpToDate>
  <CharactersWithSpaces>17877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2022-06-22T21:36:00Z</dcterms:created>
  <dcterms:modified xsi:type="dcterms:W3CDTF">2022-06-22T21:45:00Z</dcterms:modified>
</cp:coreProperties>
</file>