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B6" w:rsidRPr="009D4B27" w:rsidRDefault="009923B6" w:rsidP="009923B6">
      <w:pPr>
        <w:pStyle w:val="2"/>
        <w:numPr>
          <w:ilvl w:val="1"/>
          <w:numId w:val="1"/>
        </w:numPr>
        <w:jc w:val="center"/>
        <w:rPr>
          <w:b/>
          <w:sz w:val="30"/>
          <w:szCs w:val="30"/>
        </w:rPr>
      </w:pPr>
      <w:bookmarkStart w:id="0" w:name="_Toc95662433"/>
      <w:bookmarkStart w:id="1" w:name="_Toc95666408"/>
      <w:bookmarkStart w:id="2" w:name="_Toc95848131"/>
      <w:r w:rsidRPr="009D4B27">
        <w:rPr>
          <w:b/>
          <w:sz w:val="30"/>
          <w:szCs w:val="30"/>
        </w:rPr>
        <w:t>Анализ амортизируемого имущества</w:t>
      </w:r>
      <w:bookmarkEnd w:id="0"/>
      <w:bookmarkEnd w:id="1"/>
      <w:r>
        <w:rPr>
          <w:b/>
          <w:sz w:val="30"/>
          <w:szCs w:val="30"/>
        </w:rPr>
        <w:t>.</w:t>
      </w:r>
      <w:bookmarkEnd w:id="2"/>
    </w:p>
    <w:p w:rsidR="009923B6" w:rsidRPr="00E359F1" w:rsidRDefault="009923B6" w:rsidP="009923B6">
      <w:pPr>
        <w:pStyle w:val="21"/>
      </w:pPr>
      <w:r w:rsidRPr="00E359F1">
        <w:t>Амортизируемое имущество — понятие, означающее имущество, результаты интеллектуальной деятельности и иные объекты интелле</w:t>
      </w:r>
      <w:r w:rsidRPr="00E359F1">
        <w:t>к</w:t>
      </w:r>
      <w:r w:rsidRPr="00E359F1">
        <w:t>туальной собственности, которые принадлежат на праве собственности и использую</w:t>
      </w:r>
      <w:r w:rsidRPr="00E359F1">
        <w:t>т</w:t>
      </w:r>
      <w:r w:rsidRPr="00E359F1">
        <w:t>ся для извлечения дохода и стоимость которых погашается путем начисления амортизации.</w:t>
      </w:r>
    </w:p>
    <w:p w:rsidR="009923B6" w:rsidRPr="00E359F1" w:rsidRDefault="009923B6" w:rsidP="009923B6">
      <w:pPr>
        <w:pStyle w:val="21"/>
      </w:pPr>
      <w:r w:rsidRPr="00E359F1">
        <w:t>К амортизируемому имуществу относятся нематериальные активы, основные средства и доходные вложения в материальные ценности. Исто</w:t>
      </w:r>
      <w:r w:rsidRPr="00E359F1">
        <w:t>ч</w:t>
      </w:r>
      <w:r w:rsidRPr="00E359F1">
        <w:t xml:space="preserve">никами информации для анализа являются  бухгалтерский баланс, отчет о </w:t>
      </w:r>
      <w:r w:rsidRPr="00A378A8">
        <w:t>финансовых результатах</w:t>
      </w:r>
      <w:r w:rsidRPr="00E359F1">
        <w:t xml:space="preserve">, пояснение к бухгалтерскому балансу и отчету о </w:t>
      </w:r>
      <w:r w:rsidRPr="00A378A8">
        <w:t>финансовых результатах</w:t>
      </w:r>
      <w:r w:rsidRPr="00E359F1">
        <w:t xml:space="preserve"> (разделы 1, 2).</w:t>
      </w:r>
    </w:p>
    <w:p w:rsidR="009923B6" w:rsidRPr="00E359F1" w:rsidRDefault="009923B6" w:rsidP="009923B6">
      <w:pPr>
        <w:pStyle w:val="21"/>
      </w:pPr>
      <w:r w:rsidRPr="00E359F1">
        <w:t>Расширенный анализ нематериальных активов включает в себя:</w:t>
      </w:r>
    </w:p>
    <w:p w:rsidR="009923B6" w:rsidRPr="00E359F1" w:rsidRDefault="009923B6" w:rsidP="009923B6">
      <w:pPr>
        <w:pStyle w:val="21"/>
      </w:pPr>
      <w:r>
        <w:t>– </w:t>
      </w:r>
      <w:r w:rsidRPr="00E359F1">
        <w:t>анализ динамики и структуры нематериальных активов;</w:t>
      </w:r>
    </w:p>
    <w:p w:rsidR="009923B6" w:rsidRPr="00E359F1" w:rsidRDefault="009923B6" w:rsidP="009923B6">
      <w:pPr>
        <w:pStyle w:val="21"/>
      </w:pPr>
      <w:r>
        <w:t>– </w:t>
      </w:r>
      <w:r w:rsidRPr="00E359F1">
        <w:t>анализ оборачиваемости нематериальных активов;</w:t>
      </w:r>
    </w:p>
    <w:p w:rsidR="009923B6" w:rsidRDefault="009923B6" w:rsidP="009923B6">
      <w:pPr>
        <w:pStyle w:val="21"/>
      </w:pPr>
      <w:r>
        <w:t>– </w:t>
      </w:r>
      <w:r w:rsidRPr="00E359F1">
        <w:t>анализ рентабельности нематериальных активов.</w:t>
      </w:r>
    </w:p>
    <w:p w:rsidR="009923B6" w:rsidRDefault="009923B6" w:rsidP="009923B6">
      <w:pPr>
        <w:pStyle w:val="21"/>
        <w:ind w:firstLine="0"/>
      </w:pPr>
    </w:p>
    <w:p w:rsidR="009923B6" w:rsidRPr="007B5488" w:rsidRDefault="009923B6" w:rsidP="009923B6">
      <w:pPr>
        <w:jc w:val="center"/>
        <w:rPr>
          <w:b/>
          <w:sz w:val="30"/>
          <w:szCs w:val="30"/>
          <w:lang w:val="ru-RU"/>
        </w:rPr>
      </w:pPr>
    </w:p>
    <w:p w:rsidR="009923B6" w:rsidRPr="007B5488" w:rsidRDefault="009923B6" w:rsidP="009923B6">
      <w:pPr>
        <w:jc w:val="center"/>
        <w:rPr>
          <w:b/>
          <w:sz w:val="30"/>
          <w:szCs w:val="30"/>
          <w:lang w:val="ru-RU"/>
        </w:rPr>
      </w:pPr>
      <w:r w:rsidRPr="007B5488">
        <w:rPr>
          <w:b/>
          <w:sz w:val="30"/>
          <w:szCs w:val="30"/>
          <w:lang w:val="ru-RU"/>
        </w:rPr>
        <w:t>Анализ нематериальных активов</w:t>
      </w:r>
    </w:p>
    <w:p w:rsidR="009923B6" w:rsidRPr="00F13E03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>При анализе нематериальных активов рассматривают следующие задачи:</w:t>
      </w:r>
    </w:p>
    <w:p w:rsidR="009923B6" w:rsidRPr="00F13E03" w:rsidRDefault="009923B6" w:rsidP="009923B6">
      <w:pPr>
        <w:numPr>
          <w:ilvl w:val="1"/>
          <w:numId w:val="2"/>
        </w:numPr>
        <w:spacing w:line="220" w:lineRule="auto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>Анализ объема и динамики нематер</w:t>
      </w:r>
      <w:r w:rsidRPr="00F13E03">
        <w:rPr>
          <w:sz w:val="30"/>
          <w:szCs w:val="30"/>
          <w:lang w:val="ru-RU"/>
        </w:rPr>
        <w:t>и</w:t>
      </w:r>
      <w:r w:rsidRPr="00F13E03">
        <w:rPr>
          <w:sz w:val="30"/>
          <w:szCs w:val="30"/>
          <w:lang w:val="ru-RU"/>
        </w:rPr>
        <w:t>альных активов</w:t>
      </w:r>
    </w:p>
    <w:p w:rsidR="009923B6" w:rsidRPr="00F13E03" w:rsidRDefault="009923B6" w:rsidP="009923B6">
      <w:pPr>
        <w:numPr>
          <w:ilvl w:val="1"/>
          <w:numId w:val="2"/>
        </w:numPr>
        <w:spacing w:line="220" w:lineRule="auto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>Анализ структуры нематериальных активов по различным крит</w:t>
      </w:r>
      <w:r w:rsidRPr="00F13E03">
        <w:rPr>
          <w:sz w:val="30"/>
          <w:szCs w:val="30"/>
          <w:lang w:val="ru-RU"/>
        </w:rPr>
        <w:t>е</w:t>
      </w:r>
      <w:r w:rsidRPr="00F13E03">
        <w:rPr>
          <w:sz w:val="30"/>
          <w:szCs w:val="30"/>
          <w:lang w:val="ru-RU"/>
        </w:rPr>
        <w:t>риям</w:t>
      </w:r>
    </w:p>
    <w:p w:rsidR="009923B6" w:rsidRPr="00F13E03" w:rsidRDefault="009923B6" w:rsidP="009923B6">
      <w:pPr>
        <w:numPr>
          <w:ilvl w:val="1"/>
          <w:numId w:val="2"/>
        </w:numPr>
        <w:spacing w:line="220" w:lineRule="auto"/>
        <w:jc w:val="both"/>
        <w:rPr>
          <w:sz w:val="30"/>
          <w:szCs w:val="30"/>
        </w:rPr>
      </w:pPr>
      <w:proofErr w:type="spellStart"/>
      <w:r w:rsidRPr="00F13E03">
        <w:rPr>
          <w:sz w:val="30"/>
          <w:szCs w:val="30"/>
        </w:rPr>
        <w:t>Анализ</w:t>
      </w:r>
      <w:proofErr w:type="spellEnd"/>
      <w:r w:rsidRPr="00F13E03">
        <w:rPr>
          <w:sz w:val="30"/>
          <w:szCs w:val="30"/>
        </w:rPr>
        <w:t xml:space="preserve"> </w:t>
      </w:r>
      <w:proofErr w:type="spellStart"/>
      <w:r w:rsidRPr="00F13E03">
        <w:rPr>
          <w:sz w:val="30"/>
          <w:szCs w:val="30"/>
        </w:rPr>
        <w:t>ликвидности</w:t>
      </w:r>
      <w:proofErr w:type="spellEnd"/>
      <w:r w:rsidRPr="00F13E03">
        <w:rPr>
          <w:sz w:val="30"/>
          <w:szCs w:val="30"/>
        </w:rPr>
        <w:t xml:space="preserve"> </w:t>
      </w:r>
      <w:proofErr w:type="spellStart"/>
      <w:r w:rsidRPr="00F13E03">
        <w:rPr>
          <w:sz w:val="30"/>
          <w:szCs w:val="30"/>
        </w:rPr>
        <w:t>нематериальных</w:t>
      </w:r>
      <w:proofErr w:type="spellEnd"/>
      <w:r w:rsidRPr="00F13E03">
        <w:rPr>
          <w:sz w:val="30"/>
          <w:szCs w:val="30"/>
        </w:rPr>
        <w:t xml:space="preserve"> </w:t>
      </w:r>
      <w:proofErr w:type="spellStart"/>
      <w:r w:rsidRPr="00F13E03">
        <w:rPr>
          <w:sz w:val="30"/>
          <w:szCs w:val="30"/>
        </w:rPr>
        <w:t>а</w:t>
      </w:r>
      <w:r w:rsidRPr="00F13E03">
        <w:rPr>
          <w:sz w:val="30"/>
          <w:szCs w:val="30"/>
        </w:rPr>
        <w:t>к</w:t>
      </w:r>
      <w:r w:rsidRPr="00F13E03">
        <w:rPr>
          <w:sz w:val="30"/>
          <w:szCs w:val="30"/>
        </w:rPr>
        <w:t>тивов</w:t>
      </w:r>
      <w:proofErr w:type="spellEnd"/>
    </w:p>
    <w:p w:rsidR="009923B6" w:rsidRPr="00F13E03" w:rsidRDefault="009923B6" w:rsidP="009923B6">
      <w:pPr>
        <w:numPr>
          <w:ilvl w:val="1"/>
          <w:numId w:val="2"/>
        </w:numPr>
        <w:spacing w:line="220" w:lineRule="auto"/>
        <w:jc w:val="both"/>
        <w:rPr>
          <w:sz w:val="30"/>
          <w:szCs w:val="30"/>
        </w:rPr>
      </w:pPr>
      <w:proofErr w:type="spellStart"/>
      <w:r w:rsidRPr="00F13E03">
        <w:rPr>
          <w:sz w:val="30"/>
          <w:szCs w:val="30"/>
        </w:rPr>
        <w:t>Анализ</w:t>
      </w:r>
      <w:proofErr w:type="spellEnd"/>
      <w:r w:rsidRPr="00F13E03">
        <w:rPr>
          <w:sz w:val="30"/>
          <w:szCs w:val="30"/>
        </w:rPr>
        <w:t xml:space="preserve"> </w:t>
      </w:r>
      <w:proofErr w:type="spellStart"/>
      <w:r w:rsidRPr="00F13E03">
        <w:rPr>
          <w:sz w:val="30"/>
          <w:szCs w:val="30"/>
        </w:rPr>
        <w:t>доходности</w:t>
      </w:r>
      <w:proofErr w:type="spellEnd"/>
      <w:r w:rsidRPr="00F13E03">
        <w:rPr>
          <w:sz w:val="30"/>
          <w:szCs w:val="30"/>
        </w:rPr>
        <w:t xml:space="preserve"> </w:t>
      </w:r>
      <w:proofErr w:type="spellStart"/>
      <w:r w:rsidRPr="00F13E03">
        <w:rPr>
          <w:sz w:val="30"/>
          <w:szCs w:val="30"/>
        </w:rPr>
        <w:t>нематериальных</w:t>
      </w:r>
      <w:proofErr w:type="spellEnd"/>
      <w:r w:rsidRPr="00F13E03">
        <w:rPr>
          <w:sz w:val="30"/>
          <w:szCs w:val="30"/>
        </w:rPr>
        <w:t xml:space="preserve"> </w:t>
      </w:r>
      <w:proofErr w:type="spellStart"/>
      <w:r w:rsidRPr="00F13E03">
        <w:rPr>
          <w:sz w:val="30"/>
          <w:szCs w:val="30"/>
        </w:rPr>
        <w:t>а</w:t>
      </w:r>
      <w:r w:rsidRPr="00F13E03">
        <w:rPr>
          <w:sz w:val="30"/>
          <w:szCs w:val="30"/>
        </w:rPr>
        <w:t>к</w:t>
      </w:r>
      <w:r w:rsidRPr="00F13E03">
        <w:rPr>
          <w:sz w:val="30"/>
          <w:szCs w:val="30"/>
        </w:rPr>
        <w:t>тивов</w:t>
      </w:r>
      <w:proofErr w:type="spellEnd"/>
    </w:p>
    <w:p w:rsidR="009923B6" w:rsidRPr="00E359F1" w:rsidRDefault="009923B6" w:rsidP="009923B6">
      <w:pPr>
        <w:pStyle w:val="21"/>
        <w:spacing w:before="120"/>
        <w:rPr>
          <w:rFonts w:eastAsia="Calibri"/>
          <w:lang w:eastAsia="en-US"/>
        </w:rPr>
      </w:pPr>
      <w:r w:rsidRPr="00E359F1">
        <w:t>Используя данные раздела 1</w:t>
      </w:r>
      <w:r>
        <w:t>,</w:t>
      </w:r>
      <w:r w:rsidRPr="00E359F1">
        <w:t xml:space="preserve"> можно провести анализ динамики и</w:t>
      </w:r>
      <w:r w:rsidRPr="00E359F1">
        <w:t>з</w:t>
      </w:r>
      <w:r w:rsidRPr="00E359F1">
        <w:t xml:space="preserve">менений в объеме нематериальных активов за отчетный период по сравнению </w:t>
      </w:r>
      <w:r>
        <w:t xml:space="preserve">с </w:t>
      </w:r>
      <w:r w:rsidRPr="00E359F1">
        <w:t>данными прошлого года.</w:t>
      </w:r>
    </w:p>
    <w:p w:rsidR="009923B6" w:rsidRPr="00E359F1" w:rsidRDefault="009923B6" w:rsidP="009923B6">
      <w:pPr>
        <w:pStyle w:val="21"/>
      </w:pPr>
      <w:r w:rsidRPr="00E359F1">
        <w:t>Состояние нематериальных активов характеризуется следующим показателем</w:t>
      </w:r>
      <w:r>
        <w:t>.</w:t>
      </w:r>
    </w:p>
    <w:p w:rsidR="009923B6" w:rsidRPr="00E359F1" w:rsidRDefault="009923B6" w:rsidP="009923B6">
      <w:pPr>
        <w:pStyle w:val="21"/>
      </w:pPr>
      <w:r>
        <w:t xml:space="preserve">▪ </w:t>
      </w:r>
      <w:r w:rsidRPr="00E359F1">
        <w:t>Коэффициент износа нематериальных активов:</w:t>
      </w:r>
    </w:p>
    <w:p w:rsidR="009923B6" w:rsidRPr="00E359F1" w:rsidRDefault="009923B6" w:rsidP="009923B6">
      <w:pPr>
        <w:pStyle w:val="21"/>
        <w:ind w:firstLine="0"/>
        <w:jc w:val="center"/>
        <w:rPr>
          <w:sz w:val="28"/>
          <w:szCs w:val="28"/>
        </w:rPr>
      </w:pPr>
      <w:r w:rsidRPr="00695E1D">
        <w:rPr>
          <w:position w:val="-32"/>
          <w:sz w:val="28"/>
          <w:szCs w:val="28"/>
        </w:rPr>
        <w:object w:dxaOrig="43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36.75pt" o:ole="">
            <v:imagedata r:id="rId5" o:title=""/>
          </v:shape>
          <o:OLEObject Type="Embed" ProgID="Equation.3" ShapeID="_x0000_i1025" DrawAspect="Content" ObjectID="_1717089446" r:id="rId6"/>
        </w:object>
      </w:r>
      <w:r>
        <w:rPr>
          <w:sz w:val="28"/>
          <w:szCs w:val="28"/>
        </w:rPr>
        <w:t>.</w:t>
      </w:r>
    </w:p>
    <w:p w:rsidR="009923B6" w:rsidRPr="00F13E03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>Анализ структуры нематериальных активов по различным критер</w:t>
      </w:r>
      <w:r w:rsidRPr="00F13E03">
        <w:rPr>
          <w:sz w:val="30"/>
          <w:szCs w:val="30"/>
          <w:lang w:val="ru-RU"/>
        </w:rPr>
        <w:t>и</w:t>
      </w:r>
      <w:r w:rsidRPr="00F13E03">
        <w:rPr>
          <w:sz w:val="30"/>
          <w:szCs w:val="30"/>
          <w:lang w:val="ru-RU"/>
        </w:rPr>
        <w:t>ям проводится следующим образом:</w:t>
      </w:r>
    </w:p>
    <w:p w:rsidR="009923B6" w:rsidRPr="00F13E03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1. При анализе структуры нематериальных активов </w:t>
      </w:r>
      <w:r w:rsidRPr="00F13E03">
        <w:rPr>
          <w:sz w:val="30"/>
          <w:szCs w:val="30"/>
          <w:u w:val="single"/>
          <w:lang w:val="ru-RU"/>
        </w:rPr>
        <w:t>по видам</w:t>
      </w:r>
      <w:r w:rsidRPr="00F13E03">
        <w:rPr>
          <w:sz w:val="30"/>
          <w:szCs w:val="30"/>
          <w:lang w:val="ru-RU"/>
        </w:rPr>
        <w:t xml:space="preserve"> выд</w:t>
      </w:r>
      <w:r w:rsidRPr="00F13E03">
        <w:rPr>
          <w:sz w:val="30"/>
          <w:szCs w:val="30"/>
          <w:lang w:val="ru-RU"/>
        </w:rPr>
        <w:t>е</w:t>
      </w:r>
      <w:r w:rsidRPr="00F13E03">
        <w:rPr>
          <w:sz w:val="30"/>
          <w:szCs w:val="30"/>
          <w:lang w:val="ru-RU"/>
        </w:rPr>
        <w:t>ляют следующие группы объектов:</w:t>
      </w:r>
    </w:p>
    <w:p w:rsidR="009923B6" w:rsidRPr="00F13E03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>Нематериальные а</w:t>
      </w:r>
      <w:r w:rsidRPr="00F13E03">
        <w:rPr>
          <w:sz w:val="30"/>
          <w:szCs w:val="30"/>
          <w:lang w:val="ru-RU"/>
        </w:rPr>
        <w:t>к</w:t>
      </w:r>
      <w:r w:rsidRPr="00F13E03">
        <w:rPr>
          <w:sz w:val="30"/>
          <w:szCs w:val="30"/>
          <w:lang w:val="ru-RU"/>
        </w:rPr>
        <w:t>тивы – всего,</w:t>
      </w:r>
    </w:p>
    <w:p w:rsidR="009923B6" w:rsidRPr="00F13E03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>В том числе права на объекты промышле</w:t>
      </w:r>
      <w:r w:rsidRPr="00F13E03">
        <w:rPr>
          <w:sz w:val="30"/>
          <w:szCs w:val="30"/>
          <w:lang w:val="ru-RU"/>
        </w:rPr>
        <w:t>н</w:t>
      </w:r>
      <w:r w:rsidRPr="00F13E03">
        <w:rPr>
          <w:sz w:val="30"/>
          <w:szCs w:val="30"/>
          <w:lang w:val="ru-RU"/>
        </w:rPr>
        <w:t>ной собственности</w:t>
      </w:r>
    </w:p>
    <w:p w:rsidR="009923B6" w:rsidRPr="00F13E03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                      права на пользование приро</w:t>
      </w:r>
      <w:r w:rsidRPr="00F13E03">
        <w:rPr>
          <w:sz w:val="30"/>
          <w:szCs w:val="30"/>
          <w:lang w:val="ru-RU"/>
        </w:rPr>
        <w:t>д</w:t>
      </w:r>
      <w:r w:rsidRPr="00F13E03">
        <w:rPr>
          <w:sz w:val="30"/>
          <w:szCs w:val="30"/>
          <w:lang w:val="ru-RU"/>
        </w:rPr>
        <w:t>ными ресурсами</w:t>
      </w:r>
    </w:p>
    <w:p w:rsidR="009923B6" w:rsidRPr="00F13E03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                      деловая репутация организации</w:t>
      </w:r>
      <w:r w:rsidRPr="00E82E8C">
        <w:rPr>
          <w:sz w:val="30"/>
          <w:szCs w:val="30"/>
          <w:lang w:val="ru-RU"/>
        </w:rPr>
        <w:t xml:space="preserve"> </w:t>
      </w:r>
      <w:r w:rsidRPr="00F13E03">
        <w:rPr>
          <w:sz w:val="30"/>
          <w:szCs w:val="30"/>
          <w:lang w:val="ru-RU"/>
        </w:rPr>
        <w:t>и пр.</w:t>
      </w:r>
    </w:p>
    <w:p w:rsidR="009923B6" w:rsidRPr="00F13E03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2. При анализе структуры нематериальных активов </w:t>
      </w:r>
      <w:r w:rsidRPr="00F13E03">
        <w:rPr>
          <w:sz w:val="30"/>
          <w:szCs w:val="30"/>
          <w:u w:val="single"/>
          <w:lang w:val="ru-RU"/>
        </w:rPr>
        <w:t>по источникам п</w:t>
      </w:r>
      <w:r w:rsidRPr="00F13E03">
        <w:rPr>
          <w:sz w:val="30"/>
          <w:szCs w:val="30"/>
          <w:u w:val="single"/>
          <w:lang w:val="ru-RU"/>
        </w:rPr>
        <w:t>о</w:t>
      </w:r>
      <w:r w:rsidRPr="00F13E03">
        <w:rPr>
          <w:sz w:val="30"/>
          <w:szCs w:val="30"/>
          <w:u w:val="single"/>
          <w:lang w:val="ru-RU"/>
        </w:rPr>
        <w:t>ступления</w:t>
      </w:r>
      <w:r w:rsidRPr="00F13E03">
        <w:rPr>
          <w:sz w:val="30"/>
          <w:szCs w:val="30"/>
          <w:lang w:val="ru-RU"/>
        </w:rPr>
        <w:t xml:space="preserve"> выделяют следующие объекты:</w:t>
      </w:r>
    </w:p>
    <w:p w:rsidR="009923B6" w:rsidRPr="00F13E03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lastRenderedPageBreak/>
        <w:t>Нематериальные а</w:t>
      </w:r>
      <w:r w:rsidRPr="00F13E03">
        <w:rPr>
          <w:sz w:val="30"/>
          <w:szCs w:val="30"/>
          <w:lang w:val="ru-RU"/>
        </w:rPr>
        <w:t>к</w:t>
      </w:r>
      <w:r w:rsidRPr="00F13E03">
        <w:rPr>
          <w:sz w:val="30"/>
          <w:szCs w:val="30"/>
          <w:lang w:val="ru-RU"/>
        </w:rPr>
        <w:t>тивы – всего,</w:t>
      </w:r>
    </w:p>
    <w:p w:rsidR="009923B6" w:rsidRPr="00F13E03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в т.ч. </w:t>
      </w:r>
      <w:proofErr w:type="gramStart"/>
      <w:r w:rsidRPr="00F13E03">
        <w:rPr>
          <w:sz w:val="30"/>
          <w:szCs w:val="30"/>
          <w:lang w:val="ru-RU"/>
        </w:rPr>
        <w:t>внесенные</w:t>
      </w:r>
      <w:proofErr w:type="gramEnd"/>
      <w:r w:rsidRPr="00F13E03">
        <w:rPr>
          <w:sz w:val="30"/>
          <w:szCs w:val="30"/>
          <w:lang w:val="ru-RU"/>
        </w:rPr>
        <w:t xml:space="preserve"> у</w:t>
      </w:r>
      <w:r w:rsidRPr="00F13E03">
        <w:rPr>
          <w:sz w:val="30"/>
          <w:szCs w:val="30"/>
          <w:lang w:val="ru-RU"/>
        </w:rPr>
        <w:t>ч</w:t>
      </w:r>
      <w:r w:rsidRPr="00F13E03">
        <w:rPr>
          <w:sz w:val="30"/>
          <w:szCs w:val="30"/>
          <w:lang w:val="ru-RU"/>
        </w:rPr>
        <w:t>редителями</w:t>
      </w:r>
    </w:p>
    <w:p w:rsidR="009923B6" w:rsidRPr="00F13E03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          </w:t>
      </w:r>
      <w:proofErr w:type="gramStart"/>
      <w:r w:rsidRPr="00F13E03">
        <w:rPr>
          <w:sz w:val="30"/>
          <w:szCs w:val="30"/>
          <w:lang w:val="ru-RU"/>
        </w:rPr>
        <w:t>приобрете</w:t>
      </w:r>
      <w:r w:rsidRPr="00F13E03">
        <w:rPr>
          <w:sz w:val="30"/>
          <w:szCs w:val="30"/>
          <w:lang w:val="ru-RU"/>
        </w:rPr>
        <w:t>н</w:t>
      </w:r>
      <w:r w:rsidRPr="00F13E03">
        <w:rPr>
          <w:sz w:val="30"/>
          <w:szCs w:val="30"/>
          <w:lang w:val="ru-RU"/>
        </w:rPr>
        <w:t>ные</w:t>
      </w:r>
      <w:proofErr w:type="gramEnd"/>
      <w:r w:rsidRPr="00F13E03">
        <w:rPr>
          <w:sz w:val="30"/>
          <w:szCs w:val="30"/>
          <w:lang w:val="ru-RU"/>
        </w:rPr>
        <w:t xml:space="preserve"> за плату или в обмен на другое имущество</w:t>
      </w:r>
    </w:p>
    <w:p w:rsidR="009923B6" w:rsidRPr="00F13E03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          </w:t>
      </w:r>
      <w:proofErr w:type="gramStart"/>
      <w:r w:rsidRPr="00F13E03">
        <w:rPr>
          <w:sz w:val="30"/>
          <w:szCs w:val="30"/>
          <w:lang w:val="ru-RU"/>
        </w:rPr>
        <w:t>полученные</w:t>
      </w:r>
      <w:proofErr w:type="gramEnd"/>
      <w:r w:rsidRPr="00F13E03">
        <w:rPr>
          <w:sz w:val="30"/>
          <w:szCs w:val="30"/>
          <w:lang w:val="ru-RU"/>
        </w:rPr>
        <w:t xml:space="preserve"> безвозмездно от юрид</w:t>
      </w:r>
      <w:r w:rsidRPr="00F13E03">
        <w:rPr>
          <w:sz w:val="30"/>
          <w:szCs w:val="30"/>
          <w:lang w:val="ru-RU"/>
        </w:rPr>
        <w:t>и</w:t>
      </w:r>
      <w:r w:rsidRPr="00F13E03">
        <w:rPr>
          <w:sz w:val="30"/>
          <w:szCs w:val="30"/>
          <w:lang w:val="ru-RU"/>
        </w:rPr>
        <w:t>ческих и физических лиц</w:t>
      </w:r>
    </w:p>
    <w:p w:rsidR="009923B6" w:rsidRPr="00F13E03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          субсидии г</w:t>
      </w:r>
      <w:r w:rsidRPr="00F13E03">
        <w:rPr>
          <w:sz w:val="30"/>
          <w:szCs w:val="30"/>
          <w:lang w:val="ru-RU"/>
        </w:rPr>
        <w:t>о</w:t>
      </w:r>
      <w:r w:rsidRPr="00F13E03">
        <w:rPr>
          <w:sz w:val="30"/>
          <w:szCs w:val="30"/>
          <w:lang w:val="ru-RU"/>
        </w:rPr>
        <w:t>сударственных органов и пр.</w:t>
      </w:r>
    </w:p>
    <w:p w:rsidR="009923B6" w:rsidRPr="00F13E03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3. При анализе структуры нематериальных активов </w:t>
      </w:r>
      <w:r w:rsidRPr="00F13E03">
        <w:rPr>
          <w:sz w:val="30"/>
          <w:szCs w:val="30"/>
          <w:u w:val="single"/>
          <w:lang w:val="ru-RU"/>
        </w:rPr>
        <w:t>по степени пр</w:t>
      </w:r>
      <w:r w:rsidRPr="00F13E03">
        <w:rPr>
          <w:sz w:val="30"/>
          <w:szCs w:val="30"/>
          <w:u w:val="single"/>
          <w:lang w:val="ru-RU"/>
        </w:rPr>
        <w:t>а</w:t>
      </w:r>
      <w:r w:rsidRPr="00F13E03">
        <w:rPr>
          <w:sz w:val="30"/>
          <w:szCs w:val="30"/>
          <w:u w:val="single"/>
          <w:lang w:val="ru-RU"/>
        </w:rPr>
        <w:t xml:space="preserve">вовой защищенности </w:t>
      </w:r>
      <w:r w:rsidRPr="00F13E03">
        <w:rPr>
          <w:sz w:val="30"/>
          <w:szCs w:val="30"/>
          <w:lang w:val="ru-RU"/>
        </w:rPr>
        <w:t>выделяют следующие объекты:</w:t>
      </w:r>
    </w:p>
    <w:p w:rsidR="009923B6" w:rsidRPr="00F13E03" w:rsidRDefault="009923B6" w:rsidP="009923B6">
      <w:pPr>
        <w:spacing w:line="218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>Нематериальные а</w:t>
      </w:r>
      <w:r w:rsidRPr="00F13E03">
        <w:rPr>
          <w:sz w:val="30"/>
          <w:szCs w:val="30"/>
          <w:lang w:val="ru-RU"/>
        </w:rPr>
        <w:t>к</w:t>
      </w:r>
      <w:r w:rsidRPr="00F13E03">
        <w:rPr>
          <w:sz w:val="30"/>
          <w:szCs w:val="30"/>
          <w:lang w:val="ru-RU"/>
        </w:rPr>
        <w:t>тивы – всего,</w:t>
      </w:r>
    </w:p>
    <w:p w:rsidR="009923B6" w:rsidRPr="00F13E03" w:rsidRDefault="009923B6" w:rsidP="009923B6">
      <w:pPr>
        <w:spacing w:line="218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в т.ч. </w:t>
      </w:r>
      <w:proofErr w:type="gramStart"/>
      <w:r w:rsidRPr="00F13E03">
        <w:rPr>
          <w:sz w:val="30"/>
          <w:szCs w:val="30"/>
          <w:lang w:val="ru-RU"/>
        </w:rPr>
        <w:t>защищенные</w:t>
      </w:r>
      <w:proofErr w:type="gramEnd"/>
      <w:r w:rsidRPr="00F13E03">
        <w:rPr>
          <w:sz w:val="30"/>
          <w:szCs w:val="30"/>
          <w:lang w:val="ru-RU"/>
        </w:rPr>
        <w:t xml:space="preserve"> патентами на изобретение</w:t>
      </w:r>
    </w:p>
    <w:p w:rsidR="009923B6" w:rsidRPr="00F13E03" w:rsidRDefault="009923B6" w:rsidP="009923B6">
      <w:pPr>
        <w:spacing w:line="218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          зарегистрир</w:t>
      </w:r>
      <w:r w:rsidRPr="00F13E03">
        <w:rPr>
          <w:sz w:val="30"/>
          <w:szCs w:val="30"/>
          <w:lang w:val="ru-RU"/>
        </w:rPr>
        <w:t>о</w:t>
      </w:r>
      <w:r w:rsidRPr="00F13E03">
        <w:rPr>
          <w:sz w:val="30"/>
          <w:szCs w:val="30"/>
          <w:lang w:val="ru-RU"/>
        </w:rPr>
        <w:t>ванными лицензиями</w:t>
      </w:r>
    </w:p>
    <w:p w:rsidR="009923B6" w:rsidRPr="00F13E03" w:rsidRDefault="009923B6" w:rsidP="009923B6">
      <w:pPr>
        <w:spacing w:line="218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          свидетельс</w:t>
      </w:r>
      <w:r w:rsidRPr="00F13E03">
        <w:rPr>
          <w:sz w:val="30"/>
          <w:szCs w:val="30"/>
          <w:lang w:val="ru-RU"/>
        </w:rPr>
        <w:t>т</w:t>
      </w:r>
      <w:r w:rsidRPr="00F13E03">
        <w:rPr>
          <w:sz w:val="30"/>
          <w:szCs w:val="30"/>
          <w:lang w:val="ru-RU"/>
        </w:rPr>
        <w:t>вами на полезную модель</w:t>
      </w:r>
    </w:p>
    <w:p w:rsidR="009923B6" w:rsidRPr="00F13E03" w:rsidRDefault="009923B6" w:rsidP="009923B6">
      <w:pPr>
        <w:spacing w:line="218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          патентами на промышленные образцы</w:t>
      </w:r>
    </w:p>
    <w:p w:rsidR="009923B6" w:rsidRPr="00F13E03" w:rsidRDefault="009923B6" w:rsidP="009923B6">
      <w:pPr>
        <w:spacing w:line="218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          свидетельс</w:t>
      </w:r>
      <w:r w:rsidRPr="00F13E03">
        <w:rPr>
          <w:sz w:val="30"/>
          <w:szCs w:val="30"/>
          <w:lang w:val="ru-RU"/>
        </w:rPr>
        <w:t>т</w:t>
      </w:r>
      <w:r w:rsidRPr="00F13E03">
        <w:rPr>
          <w:sz w:val="30"/>
          <w:szCs w:val="30"/>
          <w:lang w:val="ru-RU"/>
        </w:rPr>
        <w:t xml:space="preserve">вами на товарный знак   </w:t>
      </w:r>
    </w:p>
    <w:p w:rsidR="009923B6" w:rsidRPr="00F13E03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          свидетельствами на право пользов</w:t>
      </w:r>
      <w:r w:rsidRPr="00F13E03">
        <w:rPr>
          <w:sz w:val="30"/>
          <w:szCs w:val="30"/>
          <w:lang w:val="ru-RU"/>
        </w:rPr>
        <w:t>а</w:t>
      </w:r>
      <w:r w:rsidRPr="00F13E03">
        <w:rPr>
          <w:sz w:val="30"/>
          <w:szCs w:val="30"/>
          <w:lang w:val="ru-RU"/>
        </w:rPr>
        <w:t>ния</w:t>
      </w:r>
    </w:p>
    <w:p w:rsidR="009923B6" w:rsidRPr="00F13E03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          свидетельствами об официальной регистрации программ ЭВМ, баз данных, микросхем и авторскими прав</w:t>
      </w:r>
      <w:r w:rsidRPr="00F13E03">
        <w:rPr>
          <w:sz w:val="30"/>
          <w:szCs w:val="30"/>
          <w:lang w:val="ru-RU"/>
        </w:rPr>
        <w:t>а</w:t>
      </w:r>
      <w:r w:rsidRPr="00F13E03">
        <w:rPr>
          <w:sz w:val="30"/>
          <w:szCs w:val="30"/>
          <w:lang w:val="ru-RU"/>
        </w:rPr>
        <w:t>ми.</w:t>
      </w:r>
    </w:p>
    <w:p w:rsidR="009923B6" w:rsidRPr="00F13E03" w:rsidRDefault="009923B6" w:rsidP="009923B6">
      <w:pPr>
        <w:spacing w:line="218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4. При анализе структуры </w:t>
      </w:r>
      <w:r w:rsidRPr="00F13E03">
        <w:rPr>
          <w:sz w:val="30"/>
          <w:szCs w:val="30"/>
          <w:u w:val="single"/>
          <w:lang w:val="ru-RU"/>
        </w:rPr>
        <w:t>выбытия нематериальных активов</w:t>
      </w:r>
      <w:r w:rsidRPr="00F13E03">
        <w:rPr>
          <w:sz w:val="30"/>
          <w:szCs w:val="30"/>
          <w:lang w:val="ru-RU"/>
        </w:rPr>
        <w:t xml:space="preserve"> выделяют следующие об</w:t>
      </w:r>
      <w:r w:rsidRPr="00F13E03">
        <w:rPr>
          <w:sz w:val="30"/>
          <w:szCs w:val="30"/>
          <w:lang w:val="ru-RU"/>
        </w:rPr>
        <w:t>ъ</w:t>
      </w:r>
      <w:r w:rsidRPr="00F13E03">
        <w:rPr>
          <w:sz w:val="30"/>
          <w:szCs w:val="30"/>
          <w:lang w:val="ru-RU"/>
        </w:rPr>
        <w:t>екты:</w:t>
      </w:r>
    </w:p>
    <w:p w:rsidR="009923B6" w:rsidRPr="00F13E03" w:rsidRDefault="009923B6" w:rsidP="009923B6">
      <w:pPr>
        <w:spacing w:line="218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>Выбыло нематериальных активов в отче</w:t>
      </w:r>
      <w:r w:rsidRPr="00F13E03">
        <w:rPr>
          <w:sz w:val="30"/>
          <w:szCs w:val="30"/>
          <w:lang w:val="ru-RU"/>
        </w:rPr>
        <w:t>т</w:t>
      </w:r>
      <w:r w:rsidRPr="00F13E03">
        <w:rPr>
          <w:sz w:val="30"/>
          <w:szCs w:val="30"/>
          <w:lang w:val="ru-RU"/>
        </w:rPr>
        <w:t xml:space="preserve">ном периоде – всего, </w:t>
      </w:r>
    </w:p>
    <w:p w:rsidR="009923B6" w:rsidRPr="00F13E03" w:rsidRDefault="009923B6" w:rsidP="009923B6">
      <w:pPr>
        <w:spacing w:line="218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>в т.ч. списание п</w:t>
      </w:r>
      <w:r w:rsidRPr="00F13E03">
        <w:rPr>
          <w:sz w:val="30"/>
          <w:szCs w:val="30"/>
          <w:lang w:val="ru-RU"/>
        </w:rPr>
        <w:t>о</w:t>
      </w:r>
      <w:r w:rsidRPr="00F13E03">
        <w:rPr>
          <w:sz w:val="30"/>
          <w:szCs w:val="30"/>
          <w:lang w:val="ru-RU"/>
        </w:rPr>
        <w:t>сле окончания срока службы</w:t>
      </w:r>
    </w:p>
    <w:p w:rsidR="009923B6" w:rsidRPr="00F13E03" w:rsidRDefault="009923B6" w:rsidP="009923B6">
      <w:pPr>
        <w:spacing w:line="218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          списание р</w:t>
      </w:r>
      <w:r w:rsidRPr="00F13E03">
        <w:rPr>
          <w:sz w:val="30"/>
          <w:szCs w:val="30"/>
          <w:lang w:val="ru-RU"/>
        </w:rPr>
        <w:t>а</w:t>
      </w:r>
      <w:r w:rsidRPr="00F13E03">
        <w:rPr>
          <w:sz w:val="30"/>
          <w:szCs w:val="30"/>
          <w:lang w:val="ru-RU"/>
        </w:rPr>
        <w:t>нее установленного срока службы</w:t>
      </w:r>
    </w:p>
    <w:p w:rsidR="009923B6" w:rsidRPr="00F13E03" w:rsidRDefault="009923B6" w:rsidP="009923B6">
      <w:pPr>
        <w:spacing w:line="218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          продажа или уступка прав</w:t>
      </w:r>
    </w:p>
    <w:p w:rsidR="009923B6" w:rsidRPr="00F13E03" w:rsidRDefault="009923B6" w:rsidP="009923B6">
      <w:pPr>
        <w:spacing w:line="218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          безвозмездная передача нематериальных активов и др.</w:t>
      </w:r>
    </w:p>
    <w:p w:rsidR="009923B6" w:rsidRPr="00F13E03" w:rsidRDefault="009923B6" w:rsidP="009923B6">
      <w:pPr>
        <w:spacing w:line="218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5. </w:t>
      </w:r>
      <w:r w:rsidRPr="00F13E03">
        <w:rPr>
          <w:sz w:val="30"/>
          <w:szCs w:val="30"/>
          <w:u w:val="single"/>
          <w:lang w:val="ru-RU"/>
        </w:rPr>
        <w:t>Престижность</w:t>
      </w:r>
      <w:r w:rsidRPr="00F13E03">
        <w:rPr>
          <w:sz w:val="30"/>
          <w:szCs w:val="30"/>
          <w:lang w:val="ru-RU"/>
        </w:rPr>
        <w:t xml:space="preserve"> нематериальных активов может быть оценена только экспертным путем. При этом рассматривают следующие факторы, влияющие на особенности и свойства нематериал</w:t>
      </w:r>
      <w:r w:rsidRPr="00F13E03">
        <w:rPr>
          <w:sz w:val="30"/>
          <w:szCs w:val="30"/>
          <w:lang w:val="ru-RU"/>
        </w:rPr>
        <w:t>ь</w:t>
      </w:r>
      <w:r w:rsidRPr="00F13E03">
        <w:rPr>
          <w:sz w:val="30"/>
          <w:szCs w:val="30"/>
          <w:lang w:val="ru-RU"/>
        </w:rPr>
        <w:t>ных активов:</w:t>
      </w:r>
    </w:p>
    <w:p w:rsidR="009923B6" w:rsidRPr="00F13E03" w:rsidRDefault="009923B6" w:rsidP="009923B6">
      <w:pPr>
        <w:spacing w:line="218" w:lineRule="auto"/>
        <w:ind w:left="144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>- несво</w:t>
      </w:r>
      <w:r w:rsidRPr="00F13E03">
        <w:rPr>
          <w:sz w:val="30"/>
          <w:szCs w:val="30"/>
          <w:lang w:val="ru-RU"/>
        </w:rPr>
        <w:t>е</w:t>
      </w:r>
      <w:r w:rsidRPr="00F13E03">
        <w:rPr>
          <w:sz w:val="30"/>
          <w:szCs w:val="30"/>
          <w:lang w:val="ru-RU"/>
        </w:rPr>
        <w:t>временное новшество,</w:t>
      </w:r>
    </w:p>
    <w:p w:rsidR="009923B6" w:rsidRPr="00F13E03" w:rsidRDefault="009923B6" w:rsidP="009923B6">
      <w:pPr>
        <w:spacing w:line="218" w:lineRule="auto"/>
        <w:ind w:left="144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>- дорог</w:t>
      </w:r>
      <w:r w:rsidRPr="00F13E03">
        <w:rPr>
          <w:sz w:val="30"/>
          <w:szCs w:val="30"/>
          <w:lang w:val="ru-RU"/>
        </w:rPr>
        <w:t>о</w:t>
      </w:r>
      <w:r w:rsidRPr="00F13E03">
        <w:rPr>
          <w:sz w:val="30"/>
          <w:szCs w:val="30"/>
          <w:lang w:val="ru-RU"/>
        </w:rPr>
        <w:t>визна,</w:t>
      </w:r>
    </w:p>
    <w:p w:rsidR="009923B6" w:rsidRPr="00F13E03" w:rsidRDefault="009923B6" w:rsidP="009923B6">
      <w:pPr>
        <w:spacing w:line="218" w:lineRule="auto"/>
        <w:ind w:left="144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>- чрезмерная исключител</w:t>
      </w:r>
      <w:r w:rsidRPr="00F13E03">
        <w:rPr>
          <w:sz w:val="30"/>
          <w:szCs w:val="30"/>
          <w:lang w:val="ru-RU"/>
        </w:rPr>
        <w:t>ь</w:t>
      </w:r>
      <w:r w:rsidRPr="00F13E03">
        <w:rPr>
          <w:sz w:val="30"/>
          <w:szCs w:val="30"/>
          <w:lang w:val="ru-RU"/>
        </w:rPr>
        <w:t>ность,</w:t>
      </w:r>
    </w:p>
    <w:p w:rsidR="009923B6" w:rsidRPr="00F13E03" w:rsidRDefault="009923B6" w:rsidP="009923B6">
      <w:pPr>
        <w:spacing w:line="218" w:lineRule="auto"/>
        <w:ind w:left="144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>- ограниченный круг потр</w:t>
      </w:r>
      <w:r w:rsidRPr="00F13E03">
        <w:rPr>
          <w:sz w:val="30"/>
          <w:szCs w:val="30"/>
          <w:lang w:val="ru-RU"/>
        </w:rPr>
        <w:t>е</w:t>
      </w:r>
      <w:r w:rsidRPr="00F13E03">
        <w:rPr>
          <w:sz w:val="30"/>
          <w:szCs w:val="30"/>
          <w:lang w:val="ru-RU"/>
        </w:rPr>
        <w:t>бителей,</w:t>
      </w:r>
    </w:p>
    <w:p w:rsidR="009923B6" w:rsidRPr="00F13E03" w:rsidRDefault="009923B6" w:rsidP="009923B6">
      <w:pPr>
        <w:spacing w:line="218" w:lineRule="auto"/>
        <w:ind w:left="144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>- недостаточная правовая защище</w:t>
      </w:r>
      <w:r w:rsidRPr="00F13E03">
        <w:rPr>
          <w:sz w:val="30"/>
          <w:szCs w:val="30"/>
          <w:lang w:val="ru-RU"/>
        </w:rPr>
        <w:t>н</w:t>
      </w:r>
      <w:r w:rsidRPr="00F13E03">
        <w:rPr>
          <w:sz w:val="30"/>
          <w:szCs w:val="30"/>
          <w:lang w:val="ru-RU"/>
        </w:rPr>
        <w:t>ность и пр.</w:t>
      </w:r>
    </w:p>
    <w:p w:rsidR="009923B6" w:rsidRPr="00F13E03" w:rsidRDefault="009923B6" w:rsidP="009923B6">
      <w:pPr>
        <w:spacing w:line="218" w:lineRule="auto"/>
        <w:ind w:firstLine="600"/>
        <w:jc w:val="both"/>
        <w:rPr>
          <w:sz w:val="30"/>
          <w:szCs w:val="30"/>
          <w:lang w:val="ru-RU"/>
        </w:rPr>
      </w:pPr>
      <w:r w:rsidRPr="00F13E03">
        <w:rPr>
          <w:sz w:val="30"/>
          <w:szCs w:val="30"/>
          <w:lang w:val="ru-RU"/>
        </w:rPr>
        <w:t xml:space="preserve"> 6. Вложение капитала в нематериальные активы по степени </w:t>
      </w:r>
      <w:r w:rsidRPr="00F13E03">
        <w:rPr>
          <w:sz w:val="30"/>
          <w:szCs w:val="30"/>
          <w:u w:val="single"/>
          <w:lang w:val="ru-RU"/>
        </w:rPr>
        <w:t>ли</w:t>
      </w:r>
      <w:r w:rsidRPr="00F13E03">
        <w:rPr>
          <w:sz w:val="30"/>
          <w:szCs w:val="30"/>
          <w:u w:val="single"/>
          <w:lang w:val="ru-RU"/>
        </w:rPr>
        <w:t>к</w:t>
      </w:r>
      <w:r w:rsidRPr="00F13E03">
        <w:rPr>
          <w:sz w:val="30"/>
          <w:szCs w:val="30"/>
          <w:u w:val="single"/>
          <w:lang w:val="ru-RU"/>
        </w:rPr>
        <w:t>видности</w:t>
      </w:r>
      <w:r w:rsidRPr="00F13E03">
        <w:rPr>
          <w:sz w:val="30"/>
          <w:szCs w:val="30"/>
          <w:lang w:val="ru-RU"/>
        </w:rPr>
        <w:t xml:space="preserve"> оцениваются по трем категориям: высоко ликвидные, ограниченно ликвидные и низко ликви</w:t>
      </w:r>
      <w:r w:rsidRPr="00F13E03">
        <w:rPr>
          <w:sz w:val="30"/>
          <w:szCs w:val="30"/>
          <w:lang w:val="ru-RU"/>
        </w:rPr>
        <w:t>д</w:t>
      </w:r>
      <w:r w:rsidRPr="00F13E03">
        <w:rPr>
          <w:sz w:val="30"/>
          <w:szCs w:val="30"/>
          <w:lang w:val="ru-RU"/>
        </w:rPr>
        <w:t>ные.</w:t>
      </w:r>
    </w:p>
    <w:p w:rsidR="009923B6" w:rsidRPr="00E359F1" w:rsidRDefault="009923B6" w:rsidP="009923B6">
      <w:pPr>
        <w:pStyle w:val="21"/>
      </w:pPr>
      <w:r w:rsidRPr="00E359F1">
        <w:t>Оборачиваемость нематериальных активов характеризуется сл</w:t>
      </w:r>
      <w:r w:rsidRPr="00E359F1">
        <w:t>е</w:t>
      </w:r>
      <w:r w:rsidRPr="00E359F1">
        <w:t>дующими показателями</w:t>
      </w:r>
      <w:r>
        <w:t>.</w:t>
      </w:r>
    </w:p>
    <w:p w:rsidR="009923B6" w:rsidRPr="00E359F1" w:rsidRDefault="009923B6" w:rsidP="009923B6">
      <w:pPr>
        <w:pStyle w:val="21"/>
      </w:pPr>
      <w:r>
        <w:t xml:space="preserve">▪ </w:t>
      </w:r>
      <w:r w:rsidRPr="00E359F1">
        <w:t>Коэффициент оборачиваемости нематериальных активов:</w:t>
      </w:r>
    </w:p>
    <w:p w:rsidR="009923B6" w:rsidRPr="00E359F1" w:rsidRDefault="009923B6" w:rsidP="009923B6">
      <w:pPr>
        <w:pStyle w:val="21"/>
        <w:ind w:firstLine="0"/>
        <w:jc w:val="center"/>
      </w:pPr>
      <w:r w:rsidRPr="000C3B27">
        <w:rPr>
          <w:position w:val="-32"/>
        </w:rPr>
        <w:object w:dxaOrig="6840" w:dyaOrig="740">
          <v:shape id="_x0000_i1026" type="#_x0000_t75" style="width:345.75pt;height:37.5pt" o:ole="">
            <v:imagedata r:id="rId7" o:title=""/>
          </v:shape>
          <o:OLEObject Type="Embed" ProgID="Equation.3" ShapeID="_x0000_i1026" DrawAspect="Content" ObjectID="_1717089447" r:id="rId8"/>
        </w:object>
      </w:r>
      <w:r>
        <w:t>.</w:t>
      </w:r>
    </w:p>
    <w:p w:rsidR="009923B6" w:rsidRPr="00E359F1" w:rsidRDefault="009923B6" w:rsidP="009923B6">
      <w:pPr>
        <w:pStyle w:val="21"/>
      </w:pPr>
      <w:r>
        <w:t xml:space="preserve">▪ </w:t>
      </w:r>
      <w:r w:rsidRPr="00E359F1">
        <w:t>Срок окупаемости нематериальных активов:</w:t>
      </w:r>
    </w:p>
    <w:p w:rsidR="009923B6" w:rsidRPr="00E359F1" w:rsidRDefault="009923B6" w:rsidP="009923B6">
      <w:pPr>
        <w:pStyle w:val="21"/>
        <w:ind w:firstLine="0"/>
        <w:jc w:val="center"/>
      </w:pPr>
      <w:r w:rsidRPr="00695E1D">
        <w:rPr>
          <w:position w:val="-30"/>
        </w:rPr>
        <w:object w:dxaOrig="7420" w:dyaOrig="720">
          <v:shape id="_x0000_i1027" type="#_x0000_t75" style="width:371.25pt;height:36pt" o:ole="">
            <v:imagedata r:id="rId9" o:title=""/>
          </v:shape>
          <o:OLEObject Type="Embed" ProgID="Equation.3" ShapeID="_x0000_i1027" DrawAspect="Content" ObjectID="_1717089448" r:id="rId10"/>
        </w:object>
      </w:r>
      <w:r>
        <w:t>.</w:t>
      </w:r>
    </w:p>
    <w:p w:rsidR="009923B6" w:rsidRPr="00E359F1" w:rsidRDefault="009923B6" w:rsidP="009923B6">
      <w:pPr>
        <w:pStyle w:val="21"/>
        <w:spacing w:before="120"/>
      </w:pPr>
      <w:r w:rsidRPr="00E359F1">
        <w:lastRenderedPageBreak/>
        <w:t>Эффективность использования нематериальных активов оценивае</w:t>
      </w:r>
      <w:r w:rsidRPr="00E359F1">
        <w:t>т</w:t>
      </w:r>
      <w:r w:rsidRPr="00E359F1">
        <w:t>ся при помощи показателя рентабельности нематериальных активов:</w:t>
      </w:r>
    </w:p>
    <w:p w:rsidR="009923B6" w:rsidRPr="00E359F1" w:rsidRDefault="009923B6" w:rsidP="009923B6">
      <w:pPr>
        <w:pStyle w:val="21"/>
        <w:ind w:firstLine="0"/>
        <w:jc w:val="center"/>
      </w:pPr>
      <w:r w:rsidRPr="00695E1D">
        <w:rPr>
          <w:position w:val="-30"/>
        </w:rPr>
        <w:object w:dxaOrig="6520" w:dyaOrig="720">
          <v:shape id="_x0000_i1028" type="#_x0000_t75" style="width:326.25pt;height:36pt" o:ole="">
            <v:imagedata r:id="rId11" o:title=""/>
          </v:shape>
          <o:OLEObject Type="Embed" ProgID="Equation.3" ShapeID="_x0000_i1028" DrawAspect="Content" ObjectID="_1717089449" r:id="rId12"/>
        </w:object>
      </w:r>
      <w:r>
        <w:t>.</w:t>
      </w:r>
    </w:p>
    <w:p w:rsidR="009923B6" w:rsidRPr="00E359F1" w:rsidRDefault="009923B6" w:rsidP="009923B6">
      <w:pPr>
        <w:pStyle w:val="21"/>
      </w:pPr>
      <w:r w:rsidRPr="00E359F1">
        <w:t>На рентабельность нематериальных активов оказывают влияние два фактора:</w:t>
      </w:r>
    </w:p>
    <w:p w:rsidR="009923B6" w:rsidRPr="00E359F1" w:rsidRDefault="009923B6" w:rsidP="009923B6">
      <w:pPr>
        <w:pStyle w:val="21"/>
      </w:pPr>
      <w:r>
        <w:t xml:space="preserve">1) </w:t>
      </w:r>
      <w:r w:rsidRPr="000C3B27">
        <w:rPr>
          <w:position w:val="-32"/>
        </w:rPr>
        <w:object w:dxaOrig="4099" w:dyaOrig="740">
          <v:shape id="_x0000_i1029" type="#_x0000_t75" style="width:204.75pt;height:36.75pt" o:ole="">
            <v:imagedata r:id="rId13" o:title=""/>
          </v:shape>
          <o:OLEObject Type="Embed" ProgID="Equation.3" ShapeID="_x0000_i1029" DrawAspect="Content" ObjectID="_1717089450" r:id="rId14"/>
        </w:object>
      </w:r>
      <w:r>
        <w:t>;</w:t>
      </w:r>
    </w:p>
    <w:p w:rsidR="009923B6" w:rsidRPr="00E359F1" w:rsidRDefault="009923B6" w:rsidP="009923B6">
      <w:pPr>
        <w:pStyle w:val="21"/>
      </w:pPr>
      <w:r>
        <w:t xml:space="preserve">2) </w:t>
      </w:r>
      <w:r w:rsidRPr="00E359F1">
        <w:t>оборачиваемость</w:t>
      </w:r>
      <w:r w:rsidRPr="00E359F1">
        <w:rPr>
          <w:vertAlign w:val="subscript"/>
        </w:rPr>
        <w:t xml:space="preserve"> </w:t>
      </w:r>
      <w:r w:rsidRPr="00E359F1">
        <w:t>нематериальных активов.</w:t>
      </w:r>
    </w:p>
    <w:p w:rsidR="009923B6" w:rsidRPr="005E788C" w:rsidRDefault="009923B6" w:rsidP="009923B6">
      <w:pPr>
        <w:pStyle w:val="21"/>
        <w:spacing w:before="120"/>
        <w:rPr>
          <w:rFonts w:eastAsia="Calibri"/>
          <w:spacing w:val="-6"/>
          <w:lang w:eastAsia="en-US"/>
        </w:rPr>
      </w:pPr>
      <w:r w:rsidRPr="005E788C">
        <w:rPr>
          <w:spacing w:val="-6"/>
        </w:rPr>
        <w:t>Оценить степень влияния этих факторов можно при помощи фо</w:t>
      </w:r>
      <w:r w:rsidRPr="005E788C">
        <w:rPr>
          <w:spacing w:val="-6"/>
        </w:rPr>
        <w:t>р</w:t>
      </w:r>
      <w:r w:rsidRPr="005E788C">
        <w:rPr>
          <w:spacing w:val="-6"/>
        </w:rPr>
        <w:t>мул:</w:t>
      </w:r>
    </w:p>
    <w:p w:rsidR="009923B6" w:rsidRPr="00020A8E" w:rsidRDefault="009923B6" w:rsidP="009923B6">
      <w:pPr>
        <w:pStyle w:val="21"/>
      </w:pPr>
      <w:r w:rsidRPr="00020A8E">
        <w:t>– влияние доходности = (</w:t>
      </w:r>
      <w:r w:rsidRPr="00020A8E">
        <w:rPr>
          <w:i/>
        </w:rPr>
        <w:t>Р</w:t>
      </w:r>
      <w:proofErr w:type="gramStart"/>
      <w:r w:rsidRPr="00020A8E">
        <w:rPr>
          <w:vertAlign w:val="subscript"/>
        </w:rPr>
        <w:t>2</w:t>
      </w:r>
      <w:proofErr w:type="gramEnd"/>
      <w:r w:rsidRPr="00020A8E">
        <w:t xml:space="preserve"> – </w:t>
      </w:r>
      <w:r w:rsidRPr="00020A8E">
        <w:rPr>
          <w:i/>
        </w:rPr>
        <w:t>Р</w:t>
      </w:r>
      <w:r w:rsidRPr="00020A8E">
        <w:rPr>
          <w:vertAlign w:val="subscript"/>
        </w:rPr>
        <w:t>1</w:t>
      </w:r>
      <w:r w:rsidRPr="00020A8E">
        <w:t xml:space="preserve">) </w:t>
      </w:r>
      <w:r w:rsidRPr="00020A8E">
        <w:rPr>
          <w:i/>
        </w:rPr>
        <w:t>К</w:t>
      </w:r>
      <w:r w:rsidRPr="00020A8E">
        <w:rPr>
          <w:vertAlign w:val="subscript"/>
        </w:rPr>
        <w:t>2</w:t>
      </w:r>
      <w:r w:rsidRPr="00020A8E">
        <w:t>;</w:t>
      </w:r>
    </w:p>
    <w:p w:rsidR="009923B6" w:rsidRPr="00020A8E" w:rsidRDefault="009923B6" w:rsidP="009923B6">
      <w:pPr>
        <w:pStyle w:val="21"/>
      </w:pPr>
      <w:r w:rsidRPr="00020A8E">
        <w:t>– влияние оборачиваемости нематериальных активов = (</w:t>
      </w:r>
      <w:r w:rsidRPr="00020A8E">
        <w:rPr>
          <w:i/>
        </w:rPr>
        <w:t>К</w:t>
      </w:r>
      <w:proofErr w:type="gramStart"/>
      <w:r w:rsidRPr="00020A8E">
        <w:rPr>
          <w:vertAlign w:val="subscript"/>
        </w:rPr>
        <w:t>2</w:t>
      </w:r>
      <w:proofErr w:type="gramEnd"/>
      <w:r w:rsidRPr="00020A8E">
        <w:t xml:space="preserve"> – </w:t>
      </w:r>
      <w:r w:rsidRPr="00020A8E">
        <w:rPr>
          <w:i/>
        </w:rPr>
        <w:t>К</w:t>
      </w:r>
      <w:r w:rsidRPr="00020A8E">
        <w:rPr>
          <w:vertAlign w:val="subscript"/>
        </w:rPr>
        <w:t>1</w:t>
      </w:r>
      <w:r w:rsidRPr="00020A8E">
        <w:t xml:space="preserve">) </w:t>
      </w:r>
      <w:r w:rsidRPr="00020A8E">
        <w:rPr>
          <w:i/>
        </w:rPr>
        <w:t>Р</w:t>
      </w:r>
      <w:r w:rsidRPr="00020A8E">
        <w:rPr>
          <w:vertAlign w:val="subscript"/>
        </w:rPr>
        <w:t>1</w:t>
      </w:r>
      <w:r w:rsidRPr="00020A8E">
        <w:t>,</w:t>
      </w:r>
    </w:p>
    <w:p w:rsidR="009923B6" w:rsidRPr="00E359F1" w:rsidRDefault="009923B6" w:rsidP="009923B6">
      <w:pPr>
        <w:pStyle w:val="21"/>
        <w:ind w:firstLine="0"/>
      </w:pPr>
      <w:r w:rsidRPr="00E359F1">
        <w:t>где</w:t>
      </w:r>
      <w:r>
        <w:t xml:space="preserve">  </w:t>
      </w:r>
      <w:r w:rsidRPr="00E359F1">
        <w:rPr>
          <w:i/>
        </w:rPr>
        <w:t>Р</w:t>
      </w:r>
      <w:proofErr w:type="gramStart"/>
      <w:r w:rsidRPr="00526E03">
        <w:rPr>
          <w:vertAlign w:val="subscript"/>
        </w:rPr>
        <w:t>2</w:t>
      </w:r>
      <w:proofErr w:type="gramEnd"/>
      <w:r w:rsidRPr="00526E03">
        <w:t>,</w:t>
      </w:r>
      <w:r>
        <w:rPr>
          <w:i/>
        </w:rPr>
        <w:t xml:space="preserve"> </w:t>
      </w:r>
      <w:r w:rsidRPr="00E359F1">
        <w:rPr>
          <w:i/>
        </w:rPr>
        <w:t>Р</w:t>
      </w:r>
      <w:r w:rsidRPr="00526E03">
        <w:rPr>
          <w:vertAlign w:val="subscript"/>
        </w:rPr>
        <w:t>1</w:t>
      </w:r>
      <w:r w:rsidRPr="00526E03">
        <w:t xml:space="preserve"> </w:t>
      </w:r>
      <w:r>
        <w:t>—</w:t>
      </w:r>
      <w:r w:rsidRPr="00E359F1">
        <w:t xml:space="preserve"> доходность отчетного и предыдущего периодов;</w:t>
      </w:r>
    </w:p>
    <w:p w:rsidR="009923B6" w:rsidRDefault="009923B6" w:rsidP="009923B6">
      <w:pPr>
        <w:pStyle w:val="21"/>
        <w:ind w:left="1946" w:hanging="1379"/>
      </w:pPr>
      <w:r w:rsidRPr="00E359F1">
        <w:rPr>
          <w:i/>
        </w:rPr>
        <w:t>К</w:t>
      </w:r>
      <w:proofErr w:type="gramStart"/>
      <w:r w:rsidRPr="00526E03">
        <w:rPr>
          <w:vertAlign w:val="subscript"/>
        </w:rPr>
        <w:t>2</w:t>
      </w:r>
      <w:proofErr w:type="gramEnd"/>
      <w:r w:rsidRPr="00526E03">
        <w:t>,</w:t>
      </w:r>
      <w:r>
        <w:rPr>
          <w:i/>
        </w:rPr>
        <w:t xml:space="preserve"> </w:t>
      </w:r>
      <w:r w:rsidRPr="00E359F1">
        <w:rPr>
          <w:i/>
        </w:rPr>
        <w:t>К</w:t>
      </w:r>
      <w:r w:rsidRPr="00526E03">
        <w:rPr>
          <w:vertAlign w:val="subscript"/>
        </w:rPr>
        <w:t>1</w:t>
      </w:r>
      <w:r w:rsidRPr="00E359F1">
        <w:t xml:space="preserve"> </w:t>
      </w:r>
      <w:r>
        <w:t>— </w:t>
      </w:r>
      <w:r w:rsidRPr="00E359F1">
        <w:t>оборачиваемость нематериальных активов отчетного и предыдущего периодов.</w:t>
      </w:r>
    </w:p>
    <w:p w:rsidR="009923B6" w:rsidRDefault="009923B6" w:rsidP="009923B6">
      <w:pPr>
        <w:pStyle w:val="21"/>
      </w:pPr>
      <w:r w:rsidRPr="00E359F1">
        <w:t>Эффективность нематериальных активов будет повышаться, если темпы роста чистой прибыли будут опережать темпы роста нематер</w:t>
      </w:r>
      <w:r w:rsidRPr="00E359F1">
        <w:t>и</w:t>
      </w:r>
      <w:r w:rsidRPr="00E359F1">
        <w:t>альных активов.</w:t>
      </w:r>
    </w:p>
    <w:p w:rsidR="009923B6" w:rsidRPr="00543DBB" w:rsidRDefault="009923B6" w:rsidP="009923B6">
      <w:pPr>
        <w:jc w:val="center"/>
        <w:rPr>
          <w:b/>
          <w:sz w:val="30"/>
          <w:szCs w:val="30"/>
          <w:lang w:val="ru-RU"/>
        </w:rPr>
      </w:pPr>
      <w:r w:rsidRPr="00543DBB">
        <w:rPr>
          <w:b/>
          <w:sz w:val="30"/>
          <w:szCs w:val="30"/>
          <w:lang w:val="ru-RU"/>
        </w:rPr>
        <w:t>Анализ основных средств</w:t>
      </w:r>
    </w:p>
    <w:p w:rsidR="009923B6" w:rsidRPr="00E359F1" w:rsidRDefault="009923B6" w:rsidP="009923B6">
      <w:pPr>
        <w:pStyle w:val="21"/>
      </w:pPr>
      <w:r w:rsidRPr="00E359F1">
        <w:t>Анализ основных сре</w:t>
      </w:r>
      <w:proofErr w:type="gramStart"/>
      <w:r w:rsidRPr="00E359F1">
        <w:t>дств вкл</w:t>
      </w:r>
      <w:proofErr w:type="gramEnd"/>
      <w:r w:rsidRPr="00E359F1">
        <w:t>ючает в себя:</w:t>
      </w:r>
    </w:p>
    <w:p w:rsidR="009923B6" w:rsidRPr="00E359F1" w:rsidRDefault="009923B6" w:rsidP="009923B6">
      <w:pPr>
        <w:pStyle w:val="21"/>
      </w:pPr>
      <w:r>
        <w:t>– </w:t>
      </w:r>
      <w:r w:rsidRPr="00E359F1">
        <w:t>анализ структурной динамики основных средств;</w:t>
      </w:r>
    </w:p>
    <w:p w:rsidR="009923B6" w:rsidRPr="00E359F1" w:rsidRDefault="009923B6" w:rsidP="009923B6">
      <w:pPr>
        <w:pStyle w:val="21"/>
      </w:pPr>
      <w:r>
        <w:t>– </w:t>
      </w:r>
      <w:r w:rsidRPr="00E359F1">
        <w:t>анализ воспроизводства основных средств;</w:t>
      </w:r>
    </w:p>
    <w:p w:rsidR="009923B6" w:rsidRPr="00E359F1" w:rsidRDefault="009923B6" w:rsidP="009923B6">
      <w:pPr>
        <w:pStyle w:val="21"/>
      </w:pPr>
      <w:r>
        <w:t>– </w:t>
      </w:r>
      <w:r w:rsidRPr="00E359F1">
        <w:t>анализ эффективности использования основных средств.</w:t>
      </w:r>
    </w:p>
    <w:p w:rsidR="009923B6" w:rsidRPr="00E359F1" w:rsidRDefault="009923B6" w:rsidP="009923B6">
      <w:pPr>
        <w:pStyle w:val="21"/>
        <w:spacing w:before="120"/>
        <w:rPr>
          <w:rFonts w:eastAsia="Calibri"/>
          <w:lang w:eastAsia="en-US"/>
        </w:rPr>
      </w:pPr>
      <w:r w:rsidRPr="00E359F1">
        <w:t>Обобщенную картину процесса движения и обновления основных сре</w:t>
      </w:r>
      <w:proofErr w:type="gramStart"/>
      <w:r w:rsidRPr="00E359F1">
        <w:t>дств в р</w:t>
      </w:r>
      <w:proofErr w:type="gramEnd"/>
      <w:r w:rsidRPr="00E359F1">
        <w:t>азрезе классификационных групп можно предста</w:t>
      </w:r>
      <w:r>
        <w:t xml:space="preserve">вить по данным раздела 2 формы </w:t>
      </w:r>
      <w:r w:rsidRPr="00E359F1">
        <w:t>«Пояснение к бухгалтерскому балансу и отч</w:t>
      </w:r>
      <w:r w:rsidRPr="00E359F1">
        <w:t>е</w:t>
      </w:r>
      <w:r w:rsidRPr="00E359F1">
        <w:t xml:space="preserve">ту о </w:t>
      </w:r>
      <w:r w:rsidRPr="00A378A8">
        <w:t>финансовых результатах</w:t>
      </w:r>
      <w:r w:rsidRPr="00E359F1">
        <w:t>».</w:t>
      </w:r>
    </w:p>
    <w:p w:rsidR="009923B6" w:rsidRPr="00E359F1" w:rsidRDefault="009923B6" w:rsidP="009923B6">
      <w:pPr>
        <w:pStyle w:val="21"/>
      </w:pPr>
      <w:r w:rsidRPr="00E359F1">
        <w:t>Движение и состояние основных средств организации характер</w:t>
      </w:r>
      <w:r w:rsidRPr="00E359F1">
        <w:t>и</w:t>
      </w:r>
      <w:r w:rsidRPr="00E359F1">
        <w:t>зуют следующие расчетные показатели</w:t>
      </w:r>
      <w:r>
        <w:t>.</w:t>
      </w:r>
    </w:p>
    <w:p w:rsidR="009923B6" w:rsidRPr="00E359F1" w:rsidRDefault="009923B6" w:rsidP="009923B6">
      <w:pPr>
        <w:pStyle w:val="21"/>
      </w:pPr>
      <w:r>
        <w:t xml:space="preserve">▪ </w:t>
      </w:r>
      <w:r w:rsidRPr="00E359F1">
        <w:t>Коэффициент износа основных средств:</w:t>
      </w:r>
    </w:p>
    <w:p w:rsidR="009923B6" w:rsidRPr="00E359F1" w:rsidRDefault="009923B6" w:rsidP="009923B6">
      <w:pPr>
        <w:pStyle w:val="21"/>
        <w:ind w:firstLine="0"/>
        <w:jc w:val="center"/>
      </w:pPr>
      <w:r w:rsidRPr="008C75B0">
        <w:rPr>
          <w:position w:val="-30"/>
        </w:rPr>
        <w:object w:dxaOrig="6160" w:dyaOrig="720">
          <v:shape id="_x0000_i1030" type="#_x0000_t75" style="width:308.25pt;height:36pt" o:ole="">
            <v:imagedata r:id="rId15" o:title=""/>
          </v:shape>
          <o:OLEObject Type="Embed" ProgID="Equation.3" ShapeID="_x0000_i1030" DrawAspect="Content" ObjectID="_1717089451" r:id="rId16"/>
        </w:object>
      </w:r>
      <w:r>
        <w:t>.</w:t>
      </w:r>
    </w:p>
    <w:p w:rsidR="009923B6" w:rsidRPr="00E359F1" w:rsidRDefault="009923B6" w:rsidP="009923B6">
      <w:pPr>
        <w:pStyle w:val="21"/>
      </w:pPr>
      <w:r>
        <w:t xml:space="preserve">▪ </w:t>
      </w:r>
      <w:r w:rsidRPr="00E359F1">
        <w:t>Коэффициент годности основных средств:</w:t>
      </w:r>
    </w:p>
    <w:p w:rsidR="009923B6" w:rsidRPr="00E359F1" w:rsidRDefault="009923B6" w:rsidP="009923B6">
      <w:pPr>
        <w:pStyle w:val="21"/>
        <w:ind w:firstLine="0"/>
        <w:jc w:val="center"/>
      </w:pPr>
      <w:r w:rsidRPr="008C75B0">
        <w:rPr>
          <w:position w:val="-30"/>
        </w:rPr>
        <w:object w:dxaOrig="5920" w:dyaOrig="720">
          <v:shape id="_x0000_i1031" type="#_x0000_t75" style="width:296.25pt;height:36pt" o:ole="">
            <v:imagedata r:id="rId17" o:title=""/>
          </v:shape>
          <o:OLEObject Type="Embed" ProgID="Equation.3" ShapeID="_x0000_i1031" DrawAspect="Content" ObjectID="_1717089452" r:id="rId18"/>
        </w:object>
      </w:r>
      <w:r>
        <w:t>.</w:t>
      </w:r>
    </w:p>
    <w:p w:rsidR="009923B6" w:rsidRPr="00E359F1" w:rsidRDefault="009923B6" w:rsidP="009923B6">
      <w:pPr>
        <w:pStyle w:val="21"/>
      </w:pPr>
      <w:r>
        <w:t xml:space="preserve">▪ </w:t>
      </w:r>
      <w:r w:rsidRPr="00E359F1">
        <w:t>Коэффициент обновления основных средств:</w:t>
      </w:r>
    </w:p>
    <w:p w:rsidR="009923B6" w:rsidRPr="00E359F1" w:rsidRDefault="009923B6" w:rsidP="009923B6">
      <w:pPr>
        <w:pStyle w:val="21"/>
        <w:ind w:firstLine="0"/>
        <w:jc w:val="center"/>
      </w:pPr>
      <w:r w:rsidRPr="008C75B0">
        <w:rPr>
          <w:position w:val="-30"/>
        </w:rPr>
        <w:object w:dxaOrig="6320" w:dyaOrig="720">
          <v:shape id="_x0000_i1032" type="#_x0000_t75" style="width:315.75pt;height:36pt" o:ole="">
            <v:imagedata r:id="rId19" o:title=""/>
          </v:shape>
          <o:OLEObject Type="Embed" ProgID="Equation.3" ShapeID="_x0000_i1032" DrawAspect="Content" ObjectID="_1717089453" r:id="rId20"/>
        </w:object>
      </w:r>
      <w:r>
        <w:t>.</w:t>
      </w:r>
    </w:p>
    <w:p w:rsidR="009923B6" w:rsidRPr="00E359F1" w:rsidRDefault="009923B6" w:rsidP="009923B6">
      <w:pPr>
        <w:pStyle w:val="21"/>
      </w:pPr>
      <w:r>
        <w:t xml:space="preserve">▪ </w:t>
      </w:r>
      <w:r w:rsidRPr="00E359F1">
        <w:t>Коэффициент выбытия основных средств:</w:t>
      </w:r>
    </w:p>
    <w:p w:rsidR="009923B6" w:rsidRPr="00E359F1" w:rsidRDefault="009923B6" w:rsidP="009923B6">
      <w:pPr>
        <w:pStyle w:val="21"/>
        <w:ind w:firstLine="0"/>
        <w:jc w:val="center"/>
      </w:pPr>
      <w:r w:rsidRPr="008C75B0">
        <w:rPr>
          <w:position w:val="-30"/>
        </w:rPr>
        <w:object w:dxaOrig="6500" w:dyaOrig="720">
          <v:shape id="_x0000_i1033" type="#_x0000_t75" style="width:324.75pt;height:36pt" o:ole="">
            <v:imagedata r:id="rId21" o:title=""/>
          </v:shape>
          <o:OLEObject Type="Embed" ProgID="Equation.3" ShapeID="_x0000_i1033" DrawAspect="Content" ObjectID="_1717089454" r:id="rId22"/>
        </w:object>
      </w:r>
      <w:r>
        <w:t>.</w:t>
      </w:r>
    </w:p>
    <w:p w:rsidR="009923B6" w:rsidRPr="00E359F1" w:rsidRDefault="009923B6" w:rsidP="009923B6">
      <w:pPr>
        <w:pStyle w:val="21"/>
      </w:pPr>
      <w:r w:rsidRPr="00E359F1">
        <w:t>Следует отметить, что все вышеперечисленные коэффициенты и</w:t>
      </w:r>
      <w:r w:rsidRPr="00E359F1">
        <w:t>з</w:t>
      </w:r>
      <w:r w:rsidRPr="00E359F1">
        <w:t>меряются в процентах или в долях единицы и могут быть</w:t>
      </w:r>
      <w:r>
        <w:t xml:space="preserve"> </w:t>
      </w:r>
      <w:r w:rsidRPr="00E359F1">
        <w:t>исчислены как на начало и на конец периода, так и в среднем</w:t>
      </w:r>
      <w:r>
        <w:t xml:space="preserve"> </w:t>
      </w:r>
      <w:r w:rsidRPr="00E359F1">
        <w:t>за год.</w:t>
      </w:r>
    </w:p>
    <w:p w:rsidR="009923B6" w:rsidRPr="00E359F1" w:rsidRDefault="009923B6" w:rsidP="009923B6">
      <w:pPr>
        <w:pStyle w:val="21"/>
      </w:pPr>
      <w:r w:rsidRPr="00E359F1">
        <w:t>Кроме того, для анализа основных сре</w:t>
      </w:r>
      <w:proofErr w:type="gramStart"/>
      <w:r w:rsidRPr="00E359F1">
        <w:t>дств пр</w:t>
      </w:r>
      <w:proofErr w:type="gramEnd"/>
      <w:r w:rsidRPr="00E359F1">
        <w:t>оизводственных пре</w:t>
      </w:r>
      <w:r w:rsidRPr="00E359F1">
        <w:t>д</w:t>
      </w:r>
      <w:r w:rsidRPr="00E359F1">
        <w:t>приятий используются показатели, характеризующие</w:t>
      </w:r>
      <w:r>
        <w:t xml:space="preserve"> </w:t>
      </w:r>
      <w:r w:rsidRPr="00E359F1">
        <w:t>эффективность их использования</w:t>
      </w:r>
      <w:r w:rsidRPr="00CD37B1">
        <w:rPr>
          <w:color w:val="0000FF"/>
        </w:rPr>
        <w:t>:</w:t>
      </w:r>
    </w:p>
    <w:p w:rsidR="009923B6" w:rsidRPr="00637163" w:rsidRDefault="009923B6" w:rsidP="009923B6">
      <w:pPr>
        <w:pStyle w:val="21"/>
        <w:ind w:left="854" w:hanging="287"/>
        <w:rPr>
          <w:color w:val="000000"/>
        </w:rPr>
      </w:pPr>
      <w:r w:rsidRPr="00637163">
        <w:rPr>
          <w:color w:val="000000"/>
        </w:rPr>
        <w:t xml:space="preserve">– фондоотдача: </w:t>
      </w:r>
    </w:p>
    <w:p w:rsidR="009923B6" w:rsidRPr="00637163" w:rsidRDefault="009923B6" w:rsidP="009923B6">
      <w:pPr>
        <w:pStyle w:val="21"/>
        <w:spacing w:before="120" w:after="120"/>
        <w:ind w:left="851" w:hanging="40"/>
        <w:jc w:val="left"/>
        <w:rPr>
          <w:i/>
          <w:color w:val="000000"/>
          <w:sz w:val="26"/>
          <w:szCs w:val="26"/>
        </w:rPr>
      </w:pPr>
      <w:proofErr w:type="spellStart"/>
      <w:r w:rsidRPr="00637163">
        <w:rPr>
          <w:i/>
          <w:color w:val="000000"/>
          <w:sz w:val="26"/>
          <w:szCs w:val="26"/>
        </w:rPr>
        <w:t>Фо</w:t>
      </w:r>
      <w:proofErr w:type="spellEnd"/>
      <w:r w:rsidRPr="00637163">
        <w:rPr>
          <w:i/>
          <w:color w:val="000000"/>
          <w:sz w:val="26"/>
          <w:szCs w:val="26"/>
        </w:rPr>
        <w:t xml:space="preserve"> = выручка от продаж / среднегодовая стоимость основных средств;</w:t>
      </w:r>
    </w:p>
    <w:p w:rsidR="009923B6" w:rsidRPr="00637163" w:rsidRDefault="009923B6" w:rsidP="009923B6">
      <w:pPr>
        <w:pStyle w:val="21"/>
        <w:ind w:left="854" w:hanging="287"/>
        <w:rPr>
          <w:color w:val="000000"/>
        </w:rPr>
      </w:pPr>
      <w:r w:rsidRPr="00637163">
        <w:rPr>
          <w:color w:val="000000"/>
        </w:rPr>
        <w:t>– </w:t>
      </w:r>
      <w:proofErr w:type="spellStart"/>
      <w:r w:rsidRPr="00637163">
        <w:rPr>
          <w:color w:val="000000"/>
        </w:rPr>
        <w:t>фондоемкость</w:t>
      </w:r>
      <w:proofErr w:type="spellEnd"/>
      <w:r w:rsidRPr="00637163">
        <w:rPr>
          <w:color w:val="000000"/>
        </w:rPr>
        <w:t xml:space="preserve">: </w:t>
      </w:r>
    </w:p>
    <w:p w:rsidR="009923B6" w:rsidRPr="00637163" w:rsidRDefault="009923B6" w:rsidP="009923B6">
      <w:pPr>
        <w:pStyle w:val="21"/>
        <w:spacing w:before="120" w:after="120"/>
        <w:ind w:left="856" w:hanging="28"/>
        <w:jc w:val="left"/>
        <w:rPr>
          <w:color w:val="000000"/>
          <w:sz w:val="26"/>
          <w:szCs w:val="26"/>
        </w:rPr>
      </w:pPr>
      <w:proofErr w:type="spellStart"/>
      <w:r w:rsidRPr="00637163">
        <w:rPr>
          <w:i/>
          <w:color w:val="000000"/>
          <w:sz w:val="26"/>
          <w:szCs w:val="26"/>
        </w:rPr>
        <w:t>Фе</w:t>
      </w:r>
      <w:proofErr w:type="spellEnd"/>
      <w:r w:rsidRPr="00637163">
        <w:rPr>
          <w:i/>
          <w:color w:val="000000"/>
          <w:sz w:val="26"/>
          <w:szCs w:val="26"/>
        </w:rPr>
        <w:t xml:space="preserve"> </w:t>
      </w:r>
      <w:r w:rsidRPr="00637163">
        <w:rPr>
          <w:color w:val="000000"/>
          <w:sz w:val="26"/>
          <w:szCs w:val="26"/>
        </w:rPr>
        <w:t xml:space="preserve">= </w:t>
      </w:r>
      <w:r w:rsidRPr="000C3B27">
        <w:rPr>
          <w:i/>
          <w:color w:val="000000"/>
          <w:sz w:val="26"/>
          <w:szCs w:val="26"/>
        </w:rPr>
        <w:t xml:space="preserve">среднегодовая стоимость основных средств </w:t>
      </w:r>
      <w:r w:rsidRPr="000C3B27">
        <w:rPr>
          <w:color w:val="000000"/>
          <w:sz w:val="26"/>
          <w:szCs w:val="26"/>
        </w:rPr>
        <w:t>/</w:t>
      </w:r>
      <w:r w:rsidRPr="000C3B27">
        <w:rPr>
          <w:i/>
          <w:color w:val="000000"/>
          <w:sz w:val="26"/>
          <w:szCs w:val="26"/>
        </w:rPr>
        <w:t xml:space="preserve"> выручка от пр</w:t>
      </w:r>
      <w:r w:rsidRPr="000C3B27">
        <w:rPr>
          <w:i/>
          <w:color w:val="000000"/>
          <w:sz w:val="26"/>
          <w:szCs w:val="26"/>
        </w:rPr>
        <w:t>о</w:t>
      </w:r>
      <w:r w:rsidRPr="000C3B27">
        <w:rPr>
          <w:i/>
          <w:color w:val="000000"/>
          <w:sz w:val="26"/>
          <w:szCs w:val="26"/>
        </w:rPr>
        <w:t>даж</w:t>
      </w:r>
      <w:r w:rsidRPr="00637163">
        <w:rPr>
          <w:color w:val="000000"/>
          <w:sz w:val="26"/>
          <w:szCs w:val="26"/>
        </w:rPr>
        <w:t>.</w:t>
      </w:r>
    </w:p>
    <w:p w:rsidR="009923B6" w:rsidRPr="00915822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915822">
        <w:rPr>
          <w:sz w:val="30"/>
          <w:szCs w:val="30"/>
          <w:lang w:val="ru-RU"/>
        </w:rPr>
        <w:t>Для выявления неиспользуемых резервов необходимо исследовать различные факторы, которые влияют на изменение фондоотдачи. Это возможно путем представления первоначальной формулы фондоотдачи в виде различных факторных моделей. Наиболее простой является двухфакторная модель фондоотдачи</w:t>
      </w:r>
      <w:proofErr w:type="gramStart"/>
      <w:r w:rsidRPr="00915822">
        <w:rPr>
          <w:sz w:val="30"/>
          <w:szCs w:val="30"/>
          <w:lang w:val="ru-RU"/>
        </w:rPr>
        <w:t>:</w:t>
      </w:r>
      <w:proofErr w:type="gramEnd"/>
    </w:p>
    <w:p w:rsidR="009923B6" w:rsidRPr="00915822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</w:p>
    <w:p w:rsidR="009923B6" w:rsidRPr="00915822" w:rsidRDefault="009923B6" w:rsidP="009923B6">
      <w:pPr>
        <w:spacing w:line="220" w:lineRule="auto"/>
        <w:ind w:firstLine="600"/>
        <w:jc w:val="center"/>
        <w:rPr>
          <w:sz w:val="30"/>
          <w:szCs w:val="30"/>
          <w:lang w:val="ru-RU"/>
        </w:rPr>
      </w:pPr>
      <w:r w:rsidRPr="00915822">
        <w:rPr>
          <w:position w:val="-32"/>
          <w:sz w:val="30"/>
          <w:szCs w:val="30"/>
        </w:rPr>
        <w:object w:dxaOrig="1340" w:dyaOrig="740">
          <v:shape id="_x0000_i1034" type="#_x0000_t75" style="width:66.75pt;height:36.75pt" o:ole="" fillcolor="window">
            <v:imagedata r:id="rId23" o:title=""/>
          </v:shape>
          <o:OLEObject Type="Embed" ProgID="Equation.3" ShapeID="_x0000_i1034" DrawAspect="Content" ObjectID="_1717089455" r:id="rId24"/>
        </w:object>
      </w:r>
      <w:r w:rsidRPr="00915822">
        <w:rPr>
          <w:sz w:val="30"/>
          <w:szCs w:val="30"/>
          <w:lang w:val="ru-RU"/>
        </w:rPr>
        <w:t xml:space="preserve">   ,где</w:t>
      </w:r>
    </w:p>
    <w:p w:rsidR="009923B6" w:rsidRPr="00915822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915822">
        <w:rPr>
          <w:position w:val="-12"/>
          <w:sz w:val="30"/>
          <w:szCs w:val="30"/>
        </w:rPr>
        <w:object w:dxaOrig="300" w:dyaOrig="360">
          <v:shape id="_x0000_i1035" type="#_x0000_t75" style="width:15pt;height:18pt" o:ole="" fillcolor="window">
            <v:imagedata r:id="rId25" o:title=""/>
          </v:shape>
          <o:OLEObject Type="Embed" ProgID="Equation.3" ShapeID="_x0000_i1035" DrawAspect="Content" ObjectID="_1717089456" r:id="rId26"/>
        </w:object>
      </w:r>
      <w:r w:rsidRPr="00915822">
        <w:rPr>
          <w:sz w:val="30"/>
          <w:szCs w:val="30"/>
          <w:lang w:val="ru-RU"/>
        </w:rPr>
        <w:t xml:space="preserve"> - стоимость а</w:t>
      </w:r>
      <w:r w:rsidRPr="00915822">
        <w:rPr>
          <w:sz w:val="30"/>
          <w:szCs w:val="30"/>
          <w:lang w:val="ru-RU"/>
        </w:rPr>
        <w:t>к</w:t>
      </w:r>
      <w:r w:rsidRPr="00915822">
        <w:rPr>
          <w:sz w:val="30"/>
          <w:szCs w:val="30"/>
          <w:lang w:val="ru-RU"/>
        </w:rPr>
        <w:t>тивной части основных средств.</w:t>
      </w:r>
    </w:p>
    <w:p w:rsidR="009923B6" w:rsidRPr="00915822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915822">
        <w:rPr>
          <w:sz w:val="30"/>
          <w:szCs w:val="30"/>
          <w:lang w:val="ru-RU"/>
        </w:rPr>
        <w:t>Применение данной модели при анализе фондоотдачи позволяет ответить на в</w:t>
      </w:r>
      <w:r w:rsidRPr="00915822">
        <w:rPr>
          <w:sz w:val="30"/>
          <w:szCs w:val="30"/>
          <w:lang w:val="ru-RU"/>
        </w:rPr>
        <w:t>о</w:t>
      </w:r>
      <w:r w:rsidRPr="00915822">
        <w:rPr>
          <w:sz w:val="30"/>
          <w:szCs w:val="30"/>
          <w:lang w:val="ru-RU"/>
        </w:rPr>
        <w:t>прос, как изменение в структуре основных средств, т.е. соотношение активной и пассивной их частей повлияет на изменение фондоотдачи. Для того чтобы раскрыть влияние на фондоотдачу дейс</w:t>
      </w:r>
      <w:r w:rsidRPr="00915822">
        <w:rPr>
          <w:sz w:val="30"/>
          <w:szCs w:val="30"/>
          <w:lang w:val="ru-RU"/>
        </w:rPr>
        <w:t>т</w:t>
      </w:r>
      <w:r w:rsidRPr="00915822">
        <w:rPr>
          <w:sz w:val="30"/>
          <w:szCs w:val="30"/>
          <w:lang w:val="ru-RU"/>
        </w:rPr>
        <w:t>вия интенсивных и экстенсивных факторов, используют более полную м</w:t>
      </w:r>
      <w:r w:rsidRPr="00915822">
        <w:rPr>
          <w:sz w:val="30"/>
          <w:szCs w:val="30"/>
          <w:lang w:val="ru-RU"/>
        </w:rPr>
        <w:t>о</w:t>
      </w:r>
      <w:r w:rsidRPr="00915822">
        <w:rPr>
          <w:sz w:val="30"/>
          <w:szCs w:val="30"/>
          <w:lang w:val="ru-RU"/>
        </w:rPr>
        <w:t>дель</w:t>
      </w:r>
      <w:proofErr w:type="gramStart"/>
      <w:r w:rsidRPr="00915822">
        <w:rPr>
          <w:sz w:val="30"/>
          <w:szCs w:val="30"/>
          <w:lang w:val="ru-RU"/>
        </w:rPr>
        <w:t>:</w:t>
      </w:r>
      <w:proofErr w:type="gramEnd"/>
    </w:p>
    <w:p w:rsidR="009923B6" w:rsidRPr="00915822" w:rsidRDefault="009923B6" w:rsidP="009923B6">
      <w:pPr>
        <w:spacing w:line="220" w:lineRule="auto"/>
        <w:ind w:firstLine="600"/>
        <w:jc w:val="center"/>
        <w:rPr>
          <w:sz w:val="30"/>
          <w:szCs w:val="30"/>
          <w:lang w:val="ru-RU"/>
        </w:rPr>
      </w:pPr>
      <w:r w:rsidRPr="00915822">
        <w:rPr>
          <w:position w:val="-32"/>
          <w:sz w:val="30"/>
          <w:szCs w:val="30"/>
        </w:rPr>
        <w:object w:dxaOrig="3500" w:dyaOrig="740">
          <v:shape id="_x0000_i1036" type="#_x0000_t75" style="width:174.75pt;height:36.75pt" o:ole="" fillcolor="window">
            <v:imagedata r:id="rId27" o:title=""/>
          </v:shape>
          <o:OLEObject Type="Embed" ProgID="Equation.3" ShapeID="_x0000_i1036" DrawAspect="Content" ObjectID="_1717089457" r:id="rId28"/>
        </w:object>
      </w:r>
      <w:r w:rsidRPr="00915822">
        <w:rPr>
          <w:sz w:val="30"/>
          <w:szCs w:val="30"/>
          <w:lang w:val="ru-RU"/>
        </w:rPr>
        <w:t xml:space="preserve">  ,где</w:t>
      </w:r>
    </w:p>
    <w:p w:rsidR="009923B6" w:rsidRPr="00915822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915822">
        <w:rPr>
          <w:position w:val="-12"/>
          <w:sz w:val="30"/>
          <w:szCs w:val="30"/>
        </w:rPr>
        <w:object w:dxaOrig="340" w:dyaOrig="360">
          <v:shape id="_x0000_i1037" type="#_x0000_t75" style="width:17.25pt;height:18pt" o:ole="" fillcolor="window">
            <v:imagedata r:id="rId29" o:title=""/>
          </v:shape>
          <o:OLEObject Type="Embed" ProgID="Equation.3" ShapeID="_x0000_i1037" DrawAspect="Content" ObjectID="_1717089458" r:id="rId30"/>
        </w:object>
      </w:r>
      <w:r w:rsidRPr="00915822">
        <w:rPr>
          <w:sz w:val="30"/>
          <w:szCs w:val="30"/>
          <w:lang w:val="ru-RU"/>
        </w:rPr>
        <w:t xml:space="preserve"> - стоимость м</w:t>
      </w:r>
      <w:r w:rsidRPr="00915822">
        <w:rPr>
          <w:sz w:val="30"/>
          <w:szCs w:val="30"/>
          <w:lang w:val="ru-RU"/>
        </w:rPr>
        <w:t>а</w:t>
      </w:r>
      <w:r w:rsidRPr="00915822">
        <w:rPr>
          <w:sz w:val="30"/>
          <w:szCs w:val="30"/>
          <w:lang w:val="ru-RU"/>
        </w:rPr>
        <w:t>шин и оборудования,</w:t>
      </w:r>
    </w:p>
    <w:p w:rsidR="009923B6" w:rsidRPr="00915822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915822">
        <w:rPr>
          <w:position w:val="-12"/>
          <w:sz w:val="30"/>
          <w:szCs w:val="30"/>
        </w:rPr>
        <w:object w:dxaOrig="260" w:dyaOrig="360">
          <v:shape id="_x0000_i1038" type="#_x0000_t75" style="width:12.75pt;height:18pt" o:ole="" fillcolor="window">
            <v:imagedata r:id="rId31" o:title=""/>
          </v:shape>
          <o:OLEObject Type="Embed" ProgID="Equation.3" ShapeID="_x0000_i1038" DrawAspect="Content" ObjectID="_1717089459" r:id="rId32"/>
        </w:object>
      </w:r>
      <w:r w:rsidRPr="00915822">
        <w:rPr>
          <w:sz w:val="30"/>
          <w:szCs w:val="30"/>
          <w:lang w:val="ru-RU"/>
        </w:rPr>
        <w:t xml:space="preserve"> - количество </w:t>
      </w:r>
      <w:proofErr w:type="gramStart"/>
      <w:r w:rsidRPr="00915822">
        <w:rPr>
          <w:sz w:val="30"/>
          <w:szCs w:val="30"/>
          <w:lang w:val="ru-RU"/>
        </w:rPr>
        <w:t>о</w:t>
      </w:r>
      <w:r w:rsidRPr="00915822">
        <w:rPr>
          <w:sz w:val="30"/>
          <w:szCs w:val="30"/>
          <w:lang w:val="ru-RU"/>
        </w:rPr>
        <w:t>т</w:t>
      </w:r>
      <w:r w:rsidRPr="00915822">
        <w:rPr>
          <w:sz w:val="30"/>
          <w:szCs w:val="30"/>
          <w:lang w:val="ru-RU"/>
        </w:rPr>
        <w:t>работанных</w:t>
      </w:r>
      <w:proofErr w:type="gramEnd"/>
      <w:r w:rsidRPr="00915822">
        <w:rPr>
          <w:sz w:val="30"/>
          <w:szCs w:val="30"/>
          <w:lang w:val="ru-RU"/>
        </w:rPr>
        <w:t xml:space="preserve"> </w:t>
      </w:r>
      <w:proofErr w:type="spellStart"/>
      <w:r w:rsidRPr="00915822">
        <w:rPr>
          <w:sz w:val="30"/>
          <w:szCs w:val="30"/>
          <w:lang w:val="ru-RU"/>
        </w:rPr>
        <w:t>машиносмен</w:t>
      </w:r>
      <w:proofErr w:type="spellEnd"/>
      <w:r w:rsidRPr="00915822">
        <w:rPr>
          <w:sz w:val="30"/>
          <w:szCs w:val="30"/>
          <w:lang w:val="ru-RU"/>
        </w:rPr>
        <w:t>,</w:t>
      </w:r>
    </w:p>
    <w:p w:rsidR="009923B6" w:rsidRPr="00915822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proofErr w:type="gramStart"/>
      <w:r w:rsidRPr="00915822">
        <w:rPr>
          <w:i/>
          <w:sz w:val="30"/>
          <w:szCs w:val="30"/>
          <w:lang w:val="ru-RU"/>
        </w:rPr>
        <w:t>С</w:t>
      </w:r>
      <w:proofErr w:type="gramEnd"/>
      <w:r w:rsidRPr="00915822">
        <w:rPr>
          <w:sz w:val="30"/>
          <w:szCs w:val="30"/>
          <w:lang w:val="ru-RU"/>
        </w:rPr>
        <w:t xml:space="preserve"> – средняя сто</w:t>
      </w:r>
      <w:r w:rsidRPr="00915822">
        <w:rPr>
          <w:sz w:val="30"/>
          <w:szCs w:val="30"/>
          <w:lang w:val="ru-RU"/>
        </w:rPr>
        <w:t>и</w:t>
      </w:r>
      <w:r w:rsidRPr="00915822">
        <w:rPr>
          <w:sz w:val="30"/>
          <w:szCs w:val="30"/>
          <w:lang w:val="ru-RU"/>
        </w:rPr>
        <w:t>мость оборудования,</w:t>
      </w:r>
    </w:p>
    <w:p w:rsidR="009923B6" w:rsidRPr="00915822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proofErr w:type="gramStart"/>
      <w:r w:rsidRPr="00915822">
        <w:rPr>
          <w:i/>
          <w:sz w:val="30"/>
          <w:szCs w:val="30"/>
          <w:lang w:val="ru-RU"/>
        </w:rPr>
        <w:t>К</w:t>
      </w:r>
      <w:proofErr w:type="gramEnd"/>
      <w:r w:rsidRPr="00915822">
        <w:rPr>
          <w:sz w:val="30"/>
          <w:szCs w:val="30"/>
          <w:lang w:val="ru-RU"/>
        </w:rPr>
        <w:t xml:space="preserve"> – количество  единиц действующего оборудования,</w:t>
      </w:r>
    </w:p>
    <w:p w:rsidR="009923B6" w:rsidRPr="00915822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915822">
        <w:rPr>
          <w:i/>
          <w:sz w:val="30"/>
          <w:szCs w:val="30"/>
        </w:rPr>
        <w:t>D</w:t>
      </w:r>
      <w:r w:rsidRPr="00915822">
        <w:rPr>
          <w:sz w:val="30"/>
          <w:szCs w:val="30"/>
          <w:lang w:val="ru-RU"/>
        </w:rPr>
        <w:t xml:space="preserve"> – </w:t>
      </w:r>
      <w:proofErr w:type="gramStart"/>
      <w:r w:rsidRPr="00915822">
        <w:rPr>
          <w:sz w:val="30"/>
          <w:szCs w:val="30"/>
          <w:lang w:val="ru-RU"/>
        </w:rPr>
        <w:t>продолжительность</w:t>
      </w:r>
      <w:proofErr w:type="gramEnd"/>
      <w:r w:rsidRPr="00915822">
        <w:rPr>
          <w:sz w:val="30"/>
          <w:szCs w:val="30"/>
          <w:lang w:val="ru-RU"/>
        </w:rPr>
        <w:t xml:space="preserve"> анализируемого п</w:t>
      </w:r>
      <w:r w:rsidRPr="00915822">
        <w:rPr>
          <w:sz w:val="30"/>
          <w:szCs w:val="30"/>
          <w:lang w:val="ru-RU"/>
        </w:rPr>
        <w:t>е</w:t>
      </w:r>
      <w:r w:rsidRPr="00915822">
        <w:rPr>
          <w:sz w:val="30"/>
          <w:szCs w:val="30"/>
          <w:lang w:val="ru-RU"/>
        </w:rPr>
        <w:t>риода в днях,</w:t>
      </w:r>
    </w:p>
    <w:p w:rsidR="009923B6" w:rsidRPr="00915822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915822">
        <w:rPr>
          <w:i/>
          <w:sz w:val="30"/>
          <w:szCs w:val="30"/>
          <w:lang w:val="ru-RU"/>
        </w:rPr>
        <w:t>Т</w:t>
      </w:r>
      <w:r w:rsidRPr="00915822">
        <w:rPr>
          <w:sz w:val="30"/>
          <w:szCs w:val="30"/>
          <w:lang w:val="ru-RU"/>
        </w:rPr>
        <w:t xml:space="preserve"> – количество о</w:t>
      </w:r>
      <w:r w:rsidRPr="00915822">
        <w:rPr>
          <w:sz w:val="30"/>
          <w:szCs w:val="30"/>
          <w:lang w:val="ru-RU"/>
        </w:rPr>
        <w:t>т</w:t>
      </w:r>
      <w:r w:rsidRPr="00915822">
        <w:rPr>
          <w:sz w:val="30"/>
          <w:szCs w:val="30"/>
          <w:lang w:val="ru-RU"/>
        </w:rPr>
        <w:t>работанных машино-часов.</w:t>
      </w:r>
    </w:p>
    <w:p w:rsidR="009923B6" w:rsidRPr="00915822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915822">
        <w:rPr>
          <w:sz w:val="30"/>
          <w:szCs w:val="30"/>
          <w:lang w:val="ru-RU"/>
        </w:rPr>
        <w:t xml:space="preserve"> Данная формула позволяет определить влияние на динамику фондоотдачи следующих фа</w:t>
      </w:r>
      <w:r w:rsidRPr="00915822">
        <w:rPr>
          <w:sz w:val="30"/>
          <w:szCs w:val="30"/>
          <w:lang w:val="ru-RU"/>
        </w:rPr>
        <w:t>к</w:t>
      </w:r>
      <w:r w:rsidRPr="00915822">
        <w:rPr>
          <w:sz w:val="30"/>
          <w:szCs w:val="30"/>
          <w:lang w:val="ru-RU"/>
        </w:rPr>
        <w:t>торов:</w:t>
      </w:r>
    </w:p>
    <w:p w:rsidR="009923B6" w:rsidRPr="00915822" w:rsidRDefault="009923B6" w:rsidP="009923B6">
      <w:pPr>
        <w:numPr>
          <w:ilvl w:val="0"/>
          <w:numId w:val="3"/>
        </w:numPr>
        <w:tabs>
          <w:tab w:val="clear" w:pos="960"/>
          <w:tab w:val="num" w:pos="720"/>
        </w:tabs>
        <w:spacing w:line="220" w:lineRule="auto"/>
        <w:ind w:hanging="480"/>
        <w:jc w:val="both"/>
        <w:rPr>
          <w:sz w:val="30"/>
          <w:szCs w:val="30"/>
          <w:lang w:val="ru-RU"/>
        </w:rPr>
      </w:pPr>
      <w:r w:rsidRPr="00915822">
        <w:rPr>
          <w:sz w:val="30"/>
          <w:szCs w:val="30"/>
          <w:lang w:val="ru-RU"/>
        </w:rPr>
        <w:t>доли активной части фондов в их общей стоим</w:t>
      </w:r>
      <w:r w:rsidRPr="00915822">
        <w:rPr>
          <w:sz w:val="30"/>
          <w:szCs w:val="30"/>
          <w:lang w:val="ru-RU"/>
        </w:rPr>
        <w:t>о</w:t>
      </w:r>
      <w:r w:rsidRPr="00915822">
        <w:rPr>
          <w:sz w:val="30"/>
          <w:szCs w:val="30"/>
          <w:lang w:val="ru-RU"/>
        </w:rPr>
        <w:t xml:space="preserve">сти </w:t>
      </w:r>
      <w:r w:rsidRPr="00915822">
        <w:rPr>
          <w:position w:val="-30"/>
          <w:sz w:val="30"/>
          <w:szCs w:val="30"/>
        </w:rPr>
        <w:object w:dxaOrig="620" w:dyaOrig="740">
          <v:shape id="_x0000_i1039" type="#_x0000_t75" style="width:30.75pt;height:36.75pt" o:ole="" fillcolor="window">
            <v:imagedata r:id="rId33" o:title=""/>
          </v:shape>
          <o:OLEObject Type="Embed" ProgID="Equation.3" ShapeID="_x0000_i1039" DrawAspect="Content" ObjectID="_1717089460" r:id="rId34"/>
        </w:object>
      </w:r>
      <w:r w:rsidRPr="00915822">
        <w:rPr>
          <w:sz w:val="30"/>
          <w:szCs w:val="30"/>
          <w:lang w:val="ru-RU"/>
        </w:rPr>
        <w:t>,</w:t>
      </w:r>
    </w:p>
    <w:p w:rsidR="009923B6" w:rsidRPr="00915822" w:rsidRDefault="009923B6" w:rsidP="009923B6">
      <w:pPr>
        <w:numPr>
          <w:ilvl w:val="0"/>
          <w:numId w:val="3"/>
        </w:numPr>
        <w:tabs>
          <w:tab w:val="clear" w:pos="960"/>
          <w:tab w:val="num" w:pos="720"/>
        </w:tabs>
        <w:spacing w:line="220" w:lineRule="auto"/>
        <w:ind w:hanging="480"/>
        <w:jc w:val="both"/>
        <w:rPr>
          <w:sz w:val="30"/>
          <w:szCs w:val="30"/>
          <w:lang w:val="ru-RU"/>
        </w:rPr>
      </w:pPr>
      <w:r w:rsidRPr="00915822">
        <w:rPr>
          <w:sz w:val="30"/>
          <w:szCs w:val="30"/>
          <w:lang w:val="ru-RU"/>
        </w:rPr>
        <w:lastRenderedPageBreak/>
        <w:t>доли машин и оборудования в стоимости активной части осно</w:t>
      </w:r>
      <w:r w:rsidRPr="00915822">
        <w:rPr>
          <w:sz w:val="30"/>
          <w:szCs w:val="30"/>
          <w:lang w:val="ru-RU"/>
        </w:rPr>
        <w:t>в</w:t>
      </w:r>
      <w:r w:rsidRPr="00915822">
        <w:rPr>
          <w:sz w:val="30"/>
          <w:szCs w:val="30"/>
          <w:lang w:val="ru-RU"/>
        </w:rPr>
        <w:t xml:space="preserve">ных средств </w:t>
      </w:r>
      <w:r w:rsidRPr="00915822">
        <w:rPr>
          <w:position w:val="-34"/>
          <w:sz w:val="30"/>
          <w:szCs w:val="30"/>
        </w:rPr>
        <w:object w:dxaOrig="660" w:dyaOrig="800">
          <v:shape id="_x0000_i1040" type="#_x0000_t75" style="width:33pt;height:39.75pt" o:ole="" fillcolor="window">
            <v:imagedata r:id="rId35" o:title=""/>
          </v:shape>
          <o:OLEObject Type="Embed" ProgID="Equation.3" ShapeID="_x0000_i1040" DrawAspect="Content" ObjectID="_1717089461" r:id="rId36"/>
        </w:object>
      </w:r>
      <w:r w:rsidRPr="00915822">
        <w:rPr>
          <w:sz w:val="30"/>
          <w:szCs w:val="30"/>
          <w:lang w:val="ru-RU"/>
        </w:rPr>
        <w:t>,</w:t>
      </w:r>
    </w:p>
    <w:p w:rsidR="009923B6" w:rsidRPr="00915822" w:rsidRDefault="009923B6" w:rsidP="009923B6">
      <w:pPr>
        <w:numPr>
          <w:ilvl w:val="0"/>
          <w:numId w:val="3"/>
        </w:numPr>
        <w:tabs>
          <w:tab w:val="clear" w:pos="960"/>
        </w:tabs>
        <w:spacing w:line="220" w:lineRule="auto"/>
        <w:ind w:hanging="480"/>
        <w:jc w:val="both"/>
        <w:rPr>
          <w:sz w:val="30"/>
          <w:szCs w:val="30"/>
        </w:rPr>
      </w:pPr>
      <w:proofErr w:type="spellStart"/>
      <w:r w:rsidRPr="00915822">
        <w:rPr>
          <w:sz w:val="30"/>
          <w:szCs w:val="30"/>
        </w:rPr>
        <w:t>коэффициента</w:t>
      </w:r>
      <w:proofErr w:type="spellEnd"/>
      <w:r w:rsidRPr="00915822">
        <w:rPr>
          <w:sz w:val="30"/>
          <w:szCs w:val="30"/>
        </w:rPr>
        <w:t xml:space="preserve"> </w:t>
      </w:r>
      <w:proofErr w:type="spellStart"/>
      <w:r w:rsidRPr="00915822">
        <w:rPr>
          <w:sz w:val="30"/>
          <w:szCs w:val="30"/>
        </w:rPr>
        <w:t>сменности</w:t>
      </w:r>
      <w:proofErr w:type="spellEnd"/>
      <w:r w:rsidRPr="00915822">
        <w:rPr>
          <w:sz w:val="30"/>
          <w:szCs w:val="30"/>
        </w:rPr>
        <w:t xml:space="preserve"> </w:t>
      </w:r>
      <w:proofErr w:type="spellStart"/>
      <w:r w:rsidRPr="00915822">
        <w:rPr>
          <w:sz w:val="30"/>
          <w:szCs w:val="30"/>
        </w:rPr>
        <w:t>раб</w:t>
      </w:r>
      <w:r w:rsidRPr="00915822">
        <w:rPr>
          <w:sz w:val="30"/>
          <w:szCs w:val="30"/>
        </w:rPr>
        <w:t>о</w:t>
      </w:r>
      <w:r w:rsidRPr="00915822">
        <w:rPr>
          <w:sz w:val="30"/>
          <w:szCs w:val="30"/>
        </w:rPr>
        <w:t>ты</w:t>
      </w:r>
      <w:proofErr w:type="spellEnd"/>
      <w:r w:rsidRPr="00915822">
        <w:rPr>
          <w:sz w:val="30"/>
          <w:szCs w:val="30"/>
        </w:rPr>
        <w:t xml:space="preserve"> </w:t>
      </w:r>
      <w:proofErr w:type="spellStart"/>
      <w:r w:rsidRPr="00915822">
        <w:rPr>
          <w:sz w:val="30"/>
          <w:szCs w:val="30"/>
        </w:rPr>
        <w:t>оборудования</w:t>
      </w:r>
      <w:proofErr w:type="spellEnd"/>
      <w:r w:rsidRPr="00915822">
        <w:rPr>
          <w:sz w:val="30"/>
          <w:szCs w:val="30"/>
        </w:rPr>
        <w:t xml:space="preserve"> </w:t>
      </w:r>
      <w:r w:rsidRPr="00915822">
        <w:rPr>
          <w:position w:val="-30"/>
          <w:sz w:val="30"/>
          <w:szCs w:val="30"/>
        </w:rPr>
        <w:object w:dxaOrig="960" w:dyaOrig="740">
          <v:shape id="_x0000_i1041" type="#_x0000_t75" style="width:48pt;height:36.75pt" o:ole="" fillcolor="window">
            <v:imagedata r:id="rId37" o:title=""/>
          </v:shape>
          <o:OLEObject Type="Embed" ProgID="Equation.3" ShapeID="_x0000_i1041" DrawAspect="Content" ObjectID="_1717089462" r:id="rId38"/>
        </w:object>
      </w:r>
      <w:r w:rsidRPr="00915822">
        <w:rPr>
          <w:sz w:val="30"/>
          <w:szCs w:val="30"/>
        </w:rPr>
        <w:t>,</w:t>
      </w:r>
    </w:p>
    <w:p w:rsidR="009923B6" w:rsidRPr="00915822" w:rsidRDefault="009923B6" w:rsidP="009923B6">
      <w:pPr>
        <w:numPr>
          <w:ilvl w:val="0"/>
          <w:numId w:val="3"/>
        </w:numPr>
        <w:tabs>
          <w:tab w:val="clear" w:pos="960"/>
        </w:tabs>
        <w:spacing w:line="220" w:lineRule="auto"/>
        <w:ind w:hanging="480"/>
        <w:jc w:val="both"/>
        <w:rPr>
          <w:sz w:val="30"/>
          <w:szCs w:val="30"/>
        </w:rPr>
      </w:pPr>
      <w:proofErr w:type="spellStart"/>
      <w:r w:rsidRPr="00915822">
        <w:rPr>
          <w:sz w:val="30"/>
          <w:szCs w:val="30"/>
        </w:rPr>
        <w:t>средней</w:t>
      </w:r>
      <w:proofErr w:type="spellEnd"/>
      <w:r w:rsidRPr="00915822">
        <w:rPr>
          <w:sz w:val="30"/>
          <w:szCs w:val="30"/>
        </w:rPr>
        <w:t xml:space="preserve"> </w:t>
      </w:r>
      <w:proofErr w:type="spellStart"/>
      <w:r w:rsidRPr="00915822">
        <w:rPr>
          <w:sz w:val="30"/>
          <w:szCs w:val="30"/>
        </w:rPr>
        <w:t>стоимости</w:t>
      </w:r>
      <w:proofErr w:type="spellEnd"/>
      <w:r w:rsidRPr="00915822">
        <w:rPr>
          <w:sz w:val="30"/>
          <w:szCs w:val="30"/>
        </w:rPr>
        <w:t xml:space="preserve"> </w:t>
      </w:r>
      <w:proofErr w:type="spellStart"/>
      <w:r w:rsidRPr="00915822">
        <w:rPr>
          <w:sz w:val="30"/>
          <w:szCs w:val="30"/>
        </w:rPr>
        <w:t>единицы</w:t>
      </w:r>
      <w:proofErr w:type="spellEnd"/>
      <w:r w:rsidRPr="00915822">
        <w:rPr>
          <w:sz w:val="30"/>
          <w:szCs w:val="30"/>
        </w:rPr>
        <w:t xml:space="preserve"> </w:t>
      </w:r>
      <w:proofErr w:type="spellStart"/>
      <w:r w:rsidRPr="00915822">
        <w:rPr>
          <w:sz w:val="30"/>
          <w:szCs w:val="30"/>
        </w:rPr>
        <w:t>обор</w:t>
      </w:r>
      <w:r w:rsidRPr="00915822">
        <w:rPr>
          <w:sz w:val="30"/>
          <w:szCs w:val="30"/>
        </w:rPr>
        <w:t>у</w:t>
      </w:r>
      <w:r w:rsidRPr="00915822">
        <w:rPr>
          <w:sz w:val="30"/>
          <w:szCs w:val="30"/>
        </w:rPr>
        <w:t>дования</w:t>
      </w:r>
      <w:proofErr w:type="spellEnd"/>
      <w:r w:rsidRPr="00915822">
        <w:rPr>
          <w:sz w:val="30"/>
          <w:szCs w:val="30"/>
        </w:rPr>
        <w:t xml:space="preserve"> </w:t>
      </w:r>
      <w:r w:rsidRPr="00915822">
        <w:rPr>
          <w:position w:val="-30"/>
          <w:sz w:val="30"/>
          <w:szCs w:val="30"/>
        </w:rPr>
        <w:object w:dxaOrig="540" w:dyaOrig="740">
          <v:shape id="_x0000_i1042" type="#_x0000_t75" style="width:27pt;height:36.75pt" o:ole="" fillcolor="window">
            <v:imagedata r:id="rId39" o:title=""/>
          </v:shape>
          <o:OLEObject Type="Embed" ProgID="Equation.3" ShapeID="_x0000_i1042" DrawAspect="Content" ObjectID="_1717089463" r:id="rId40"/>
        </w:object>
      </w:r>
      <w:r w:rsidRPr="00915822">
        <w:rPr>
          <w:sz w:val="30"/>
          <w:szCs w:val="30"/>
        </w:rPr>
        <w:t>,</w:t>
      </w:r>
    </w:p>
    <w:p w:rsidR="009923B6" w:rsidRPr="00915822" w:rsidRDefault="009923B6" w:rsidP="009923B6">
      <w:pPr>
        <w:numPr>
          <w:ilvl w:val="0"/>
          <w:numId w:val="3"/>
        </w:numPr>
        <w:tabs>
          <w:tab w:val="clear" w:pos="960"/>
        </w:tabs>
        <w:spacing w:line="220" w:lineRule="auto"/>
        <w:ind w:hanging="480"/>
        <w:jc w:val="both"/>
        <w:rPr>
          <w:sz w:val="30"/>
          <w:szCs w:val="30"/>
        </w:rPr>
      </w:pPr>
      <w:proofErr w:type="spellStart"/>
      <w:r w:rsidRPr="00915822">
        <w:rPr>
          <w:sz w:val="30"/>
          <w:szCs w:val="30"/>
        </w:rPr>
        <w:t>продолжительности</w:t>
      </w:r>
      <w:proofErr w:type="spellEnd"/>
      <w:r w:rsidRPr="00915822">
        <w:rPr>
          <w:sz w:val="30"/>
          <w:szCs w:val="30"/>
        </w:rPr>
        <w:t xml:space="preserve"> </w:t>
      </w:r>
      <w:proofErr w:type="spellStart"/>
      <w:r w:rsidRPr="00915822">
        <w:rPr>
          <w:sz w:val="30"/>
          <w:szCs w:val="30"/>
        </w:rPr>
        <w:t>машиносм</w:t>
      </w:r>
      <w:r w:rsidRPr="00915822">
        <w:rPr>
          <w:sz w:val="30"/>
          <w:szCs w:val="30"/>
        </w:rPr>
        <w:t>е</w:t>
      </w:r>
      <w:r w:rsidRPr="00915822">
        <w:rPr>
          <w:sz w:val="30"/>
          <w:szCs w:val="30"/>
        </w:rPr>
        <w:t>ны</w:t>
      </w:r>
      <w:proofErr w:type="spellEnd"/>
      <w:r w:rsidRPr="00915822">
        <w:rPr>
          <w:sz w:val="30"/>
          <w:szCs w:val="30"/>
        </w:rPr>
        <w:t xml:space="preserve"> </w:t>
      </w:r>
      <w:r w:rsidRPr="00915822">
        <w:rPr>
          <w:position w:val="-34"/>
          <w:sz w:val="30"/>
          <w:szCs w:val="30"/>
        </w:rPr>
        <w:object w:dxaOrig="580" w:dyaOrig="800">
          <v:shape id="_x0000_i1043" type="#_x0000_t75" style="width:29.25pt;height:39.75pt" o:ole="" fillcolor="window">
            <v:imagedata r:id="rId41" o:title=""/>
          </v:shape>
          <o:OLEObject Type="Embed" ProgID="Equation.3" ShapeID="_x0000_i1043" DrawAspect="Content" ObjectID="_1717089464" r:id="rId42"/>
        </w:object>
      </w:r>
      <w:r w:rsidRPr="00915822">
        <w:rPr>
          <w:sz w:val="30"/>
          <w:szCs w:val="30"/>
        </w:rPr>
        <w:t>,</w:t>
      </w:r>
    </w:p>
    <w:p w:rsidR="009923B6" w:rsidRPr="00915822" w:rsidRDefault="009923B6" w:rsidP="009923B6">
      <w:pPr>
        <w:numPr>
          <w:ilvl w:val="0"/>
          <w:numId w:val="3"/>
        </w:numPr>
        <w:tabs>
          <w:tab w:val="clear" w:pos="960"/>
        </w:tabs>
        <w:spacing w:line="220" w:lineRule="auto"/>
        <w:ind w:hanging="480"/>
        <w:jc w:val="both"/>
        <w:rPr>
          <w:sz w:val="30"/>
          <w:szCs w:val="30"/>
          <w:lang w:val="ru-RU"/>
        </w:rPr>
      </w:pPr>
      <w:r w:rsidRPr="00915822">
        <w:rPr>
          <w:sz w:val="30"/>
          <w:szCs w:val="30"/>
          <w:lang w:val="ru-RU"/>
        </w:rPr>
        <w:t>выработки продукции за один машино-час раб</w:t>
      </w:r>
      <w:r w:rsidRPr="00915822">
        <w:rPr>
          <w:sz w:val="30"/>
          <w:szCs w:val="30"/>
          <w:lang w:val="ru-RU"/>
        </w:rPr>
        <w:t>о</w:t>
      </w:r>
      <w:r w:rsidRPr="00915822">
        <w:rPr>
          <w:sz w:val="30"/>
          <w:szCs w:val="30"/>
          <w:lang w:val="ru-RU"/>
        </w:rPr>
        <w:t xml:space="preserve">ты оборудования </w:t>
      </w:r>
      <w:r w:rsidRPr="00915822">
        <w:rPr>
          <w:position w:val="-30"/>
          <w:sz w:val="30"/>
          <w:szCs w:val="30"/>
        </w:rPr>
        <w:object w:dxaOrig="580" w:dyaOrig="740">
          <v:shape id="_x0000_i1044" type="#_x0000_t75" style="width:29.25pt;height:36.75pt" o:ole="" fillcolor="window">
            <v:imagedata r:id="rId43" o:title=""/>
          </v:shape>
          <o:OLEObject Type="Embed" ProgID="Equation.3" ShapeID="_x0000_i1044" DrawAspect="Content" ObjectID="_1717089465" r:id="rId44"/>
        </w:object>
      </w:r>
      <w:r w:rsidRPr="00915822">
        <w:rPr>
          <w:sz w:val="30"/>
          <w:szCs w:val="30"/>
          <w:lang w:val="ru-RU"/>
        </w:rPr>
        <w:t>.</w:t>
      </w:r>
    </w:p>
    <w:p w:rsidR="009923B6" w:rsidRPr="00915822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915822">
        <w:rPr>
          <w:sz w:val="30"/>
          <w:szCs w:val="30"/>
          <w:lang w:val="ru-RU"/>
        </w:rPr>
        <w:t>Одним из важнейших факторов, оказывающих влияние на испол</w:t>
      </w:r>
      <w:r w:rsidRPr="00915822">
        <w:rPr>
          <w:sz w:val="30"/>
          <w:szCs w:val="30"/>
          <w:lang w:val="ru-RU"/>
        </w:rPr>
        <w:t>ь</w:t>
      </w:r>
      <w:r w:rsidRPr="00915822">
        <w:rPr>
          <w:sz w:val="30"/>
          <w:szCs w:val="30"/>
          <w:lang w:val="ru-RU"/>
        </w:rPr>
        <w:t>зование основных средств, является улучшение производственных мощностей предприятия и его подразделений. Чтобы установить вза</w:t>
      </w:r>
      <w:r w:rsidRPr="00915822">
        <w:rPr>
          <w:sz w:val="30"/>
          <w:szCs w:val="30"/>
          <w:lang w:val="ru-RU"/>
        </w:rPr>
        <w:t>и</w:t>
      </w:r>
      <w:r w:rsidRPr="00915822">
        <w:rPr>
          <w:sz w:val="30"/>
          <w:szCs w:val="30"/>
          <w:lang w:val="ru-RU"/>
        </w:rPr>
        <w:t>мосвязь между фондоотдачей и уровнем использования производстве</w:t>
      </w:r>
      <w:r w:rsidRPr="00915822">
        <w:rPr>
          <w:sz w:val="30"/>
          <w:szCs w:val="30"/>
          <w:lang w:val="ru-RU"/>
        </w:rPr>
        <w:t>н</w:t>
      </w:r>
      <w:r w:rsidRPr="00915822">
        <w:rPr>
          <w:sz w:val="30"/>
          <w:szCs w:val="30"/>
          <w:lang w:val="ru-RU"/>
        </w:rPr>
        <w:t>ных мощностей, показатель фондоотдачи можно представить в виде формулы</w:t>
      </w:r>
      <w:proofErr w:type="gramStart"/>
      <w:r w:rsidRPr="00915822">
        <w:rPr>
          <w:sz w:val="30"/>
          <w:szCs w:val="30"/>
          <w:lang w:val="ru-RU"/>
        </w:rPr>
        <w:t>:</w:t>
      </w:r>
      <w:proofErr w:type="gramEnd"/>
    </w:p>
    <w:p w:rsidR="009923B6" w:rsidRPr="00915822" w:rsidRDefault="009923B6" w:rsidP="009923B6">
      <w:pPr>
        <w:spacing w:line="220" w:lineRule="auto"/>
        <w:ind w:firstLine="600"/>
        <w:jc w:val="center"/>
        <w:rPr>
          <w:sz w:val="30"/>
          <w:szCs w:val="30"/>
          <w:lang w:val="ru-RU"/>
        </w:rPr>
      </w:pPr>
      <w:r w:rsidRPr="00915822">
        <w:rPr>
          <w:position w:val="-32"/>
          <w:sz w:val="30"/>
          <w:szCs w:val="30"/>
        </w:rPr>
        <w:object w:dxaOrig="2400" w:dyaOrig="740">
          <v:shape id="_x0000_i1045" type="#_x0000_t75" style="width:120pt;height:36.75pt" o:ole="" fillcolor="window">
            <v:imagedata r:id="rId45" o:title=""/>
          </v:shape>
          <o:OLEObject Type="Embed" ProgID="Equation.3" ShapeID="_x0000_i1045" DrawAspect="Content" ObjectID="_1717089466" r:id="rId46"/>
        </w:object>
      </w:r>
      <w:r w:rsidRPr="00915822">
        <w:rPr>
          <w:sz w:val="30"/>
          <w:szCs w:val="30"/>
          <w:lang w:val="ru-RU"/>
        </w:rPr>
        <w:t xml:space="preserve">  ,где</w:t>
      </w:r>
    </w:p>
    <w:p w:rsidR="009923B6" w:rsidRPr="00915822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915822">
        <w:rPr>
          <w:position w:val="-12"/>
          <w:sz w:val="30"/>
          <w:szCs w:val="30"/>
        </w:rPr>
        <w:object w:dxaOrig="360" w:dyaOrig="360">
          <v:shape id="_x0000_i1046" type="#_x0000_t75" style="width:18pt;height:18pt" o:ole="" fillcolor="window">
            <v:imagedata r:id="rId47" o:title=""/>
          </v:shape>
          <o:OLEObject Type="Embed" ProgID="Equation.3" ShapeID="_x0000_i1046" DrawAspect="Content" ObjectID="_1717089467" r:id="rId48"/>
        </w:object>
      </w:r>
      <w:r w:rsidRPr="00915822">
        <w:rPr>
          <w:sz w:val="30"/>
          <w:szCs w:val="30"/>
          <w:lang w:val="ru-RU"/>
        </w:rPr>
        <w:t xml:space="preserve"> - выручка от реализации основных в</w:t>
      </w:r>
      <w:r w:rsidRPr="00915822">
        <w:rPr>
          <w:sz w:val="30"/>
          <w:szCs w:val="30"/>
          <w:lang w:val="ru-RU"/>
        </w:rPr>
        <w:t>и</w:t>
      </w:r>
      <w:r w:rsidRPr="00915822">
        <w:rPr>
          <w:sz w:val="30"/>
          <w:szCs w:val="30"/>
          <w:lang w:val="ru-RU"/>
        </w:rPr>
        <w:t>дов продукции,</w:t>
      </w:r>
    </w:p>
    <w:p w:rsidR="009923B6" w:rsidRPr="00915822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915822">
        <w:rPr>
          <w:i/>
          <w:sz w:val="30"/>
          <w:szCs w:val="30"/>
        </w:rPr>
        <w:t>R</w:t>
      </w:r>
      <w:r w:rsidRPr="00915822">
        <w:rPr>
          <w:sz w:val="30"/>
          <w:szCs w:val="30"/>
          <w:lang w:val="ru-RU"/>
        </w:rPr>
        <w:t xml:space="preserve"> – </w:t>
      </w:r>
      <w:proofErr w:type="gramStart"/>
      <w:r w:rsidRPr="00915822">
        <w:rPr>
          <w:sz w:val="30"/>
          <w:szCs w:val="30"/>
          <w:lang w:val="ru-RU"/>
        </w:rPr>
        <w:t>среднегодовая</w:t>
      </w:r>
      <w:proofErr w:type="gramEnd"/>
      <w:r w:rsidRPr="00915822">
        <w:rPr>
          <w:sz w:val="30"/>
          <w:szCs w:val="30"/>
          <w:lang w:val="ru-RU"/>
        </w:rPr>
        <w:t xml:space="preserve"> стоимость производс</w:t>
      </w:r>
      <w:r w:rsidRPr="00915822">
        <w:rPr>
          <w:sz w:val="30"/>
          <w:szCs w:val="30"/>
          <w:lang w:val="ru-RU"/>
        </w:rPr>
        <w:t>т</w:t>
      </w:r>
      <w:r w:rsidRPr="00915822">
        <w:rPr>
          <w:sz w:val="30"/>
          <w:szCs w:val="30"/>
          <w:lang w:val="ru-RU"/>
        </w:rPr>
        <w:t>венных мощностей.</w:t>
      </w:r>
    </w:p>
    <w:p w:rsidR="009923B6" w:rsidRPr="00915822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915822">
        <w:rPr>
          <w:sz w:val="30"/>
          <w:szCs w:val="30"/>
          <w:lang w:val="ru-RU"/>
        </w:rPr>
        <w:t>Данная формула позволяет определить влияние на фондоотдачу следующих факт</w:t>
      </w:r>
      <w:r w:rsidRPr="00915822">
        <w:rPr>
          <w:sz w:val="30"/>
          <w:szCs w:val="30"/>
          <w:lang w:val="ru-RU"/>
        </w:rPr>
        <w:t>о</w:t>
      </w:r>
      <w:r w:rsidRPr="00915822">
        <w:rPr>
          <w:sz w:val="30"/>
          <w:szCs w:val="30"/>
          <w:lang w:val="ru-RU"/>
        </w:rPr>
        <w:t>ров:</w:t>
      </w:r>
    </w:p>
    <w:p w:rsidR="009923B6" w:rsidRPr="00915822" w:rsidRDefault="009923B6" w:rsidP="009923B6">
      <w:pPr>
        <w:numPr>
          <w:ilvl w:val="0"/>
          <w:numId w:val="4"/>
        </w:numPr>
        <w:tabs>
          <w:tab w:val="clear" w:pos="960"/>
          <w:tab w:val="num" w:pos="240"/>
        </w:tabs>
        <w:spacing w:line="220" w:lineRule="auto"/>
        <w:ind w:left="840" w:hanging="273"/>
        <w:jc w:val="both"/>
        <w:rPr>
          <w:sz w:val="30"/>
          <w:szCs w:val="30"/>
        </w:rPr>
      </w:pPr>
      <w:proofErr w:type="spellStart"/>
      <w:r w:rsidRPr="00915822">
        <w:rPr>
          <w:sz w:val="30"/>
          <w:szCs w:val="30"/>
        </w:rPr>
        <w:t>уровня</w:t>
      </w:r>
      <w:proofErr w:type="spellEnd"/>
      <w:r w:rsidRPr="00915822">
        <w:rPr>
          <w:sz w:val="30"/>
          <w:szCs w:val="30"/>
        </w:rPr>
        <w:t xml:space="preserve"> </w:t>
      </w:r>
      <w:proofErr w:type="spellStart"/>
      <w:r w:rsidRPr="00915822">
        <w:rPr>
          <w:sz w:val="30"/>
          <w:szCs w:val="30"/>
        </w:rPr>
        <w:t>специализации</w:t>
      </w:r>
      <w:proofErr w:type="spellEnd"/>
      <w:r w:rsidRPr="00915822">
        <w:rPr>
          <w:sz w:val="30"/>
          <w:szCs w:val="30"/>
        </w:rPr>
        <w:t xml:space="preserve"> </w:t>
      </w:r>
      <w:proofErr w:type="spellStart"/>
      <w:r w:rsidRPr="00915822">
        <w:rPr>
          <w:sz w:val="30"/>
          <w:szCs w:val="30"/>
        </w:rPr>
        <w:t>предприятия</w:t>
      </w:r>
      <w:proofErr w:type="spellEnd"/>
      <w:r w:rsidRPr="00915822">
        <w:rPr>
          <w:sz w:val="30"/>
          <w:szCs w:val="30"/>
        </w:rPr>
        <w:t xml:space="preserve"> </w:t>
      </w:r>
      <w:r w:rsidRPr="00915822">
        <w:rPr>
          <w:position w:val="-34"/>
          <w:sz w:val="30"/>
          <w:szCs w:val="30"/>
        </w:rPr>
        <w:object w:dxaOrig="660" w:dyaOrig="800">
          <v:shape id="_x0000_i1047" type="#_x0000_t75" style="width:33pt;height:39.75pt" o:ole="" fillcolor="window">
            <v:imagedata r:id="rId49" o:title=""/>
          </v:shape>
          <o:OLEObject Type="Embed" ProgID="Equation.3" ShapeID="_x0000_i1047" DrawAspect="Content" ObjectID="_1717089468" r:id="rId50"/>
        </w:object>
      </w:r>
      <w:r w:rsidRPr="00915822">
        <w:rPr>
          <w:sz w:val="30"/>
          <w:szCs w:val="30"/>
        </w:rPr>
        <w:t>,</w:t>
      </w:r>
    </w:p>
    <w:p w:rsidR="009923B6" w:rsidRPr="00915822" w:rsidRDefault="009923B6" w:rsidP="009923B6">
      <w:pPr>
        <w:numPr>
          <w:ilvl w:val="0"/>
          <w:numId w:val="4"/>
        </w:numPr>
        <w:tabs>
          <w:tab w:val="clear" w:pos="960"/>
          <w:tab w:val="num" w:pos="240"/>
        </w:tabs>
        <w:spacing w:line="220" w:lineRule="auto"/>
        <w:ind w:left="840" w:hanging="273"/>
        <w:jc w:val="both"/>
        <w:rPr>
          <w:sz w:val="30"/>
          <w:szCs w:val="30"/>
        </w:rPr>
      </w:pPr>
      <w:proofErr w:type="spellStart"/>
      <w:r w:rsidRPr="00915822">
        <w:rPr>
          <w:sz w:val="30"/>
          <w:szCs w:val="30"/>
        </w:rPr>
        <w:t>коэффициента</w:t>
      </w:r>
      <w:proofErr w:type="spellEnd"/>
      <w:r w:rsidRPr="00915822">
        <w:rPr>
          <w:sz w:val="30"/>
          <w:szCs w:val="30"/>
        </w:rPr>
        <w:t xml:space="preserve"> </w:t>
      </w:r>
      <w:proofErr w:type="spellStart"/>
      <w:r w:rsidRPr="00915822">
        <w:rPr>
          <w:sz w:val="30"/>
          <w:szCs w:val="30"/>
        </w:rPr>
        <w:t>использования</w:t>
      </w:r>
      <w:proofErr w:type="spellEnd"/>
      <w:r w:rsidRPr="00915822">
        <w:rPr>
          <w:sz w:val="30"/>
          <w:szCs w:val="30"/>
        </w:rPr>
        <w:t xml:space="preserve"> </w:t>
      </w:r>
      <w:proofErr w:type="spellStart"/>
      <w:r w:rsidRPr="00915822">
        <w:rPr>
          <w:sz w:val="30"/>
          <w:szCs w:val="30"/>
        </w:rPr>
        <w:t>прои</w:t>
      </w:r>
      <w:r w:rsidRPr="00915822">
        <w:rPr>
          <w:sz w:val="30"/>
          <w:szCs w:val="30"/>
        </w:rPr>
        <w:t>з</w:t>
      </w:r>
      <w:r w:rsidRPr="00915822">
        <w:rPr>
          <w:sz w:val="30"/>
          <w:szCs w:val="30"/>
        </w:rPr>
        <w:t>водственных</w:t>
      </w:r>
      <w:proofErr w:type="spellEnd"/>
      <w:r w:rsidRPr="00915822">
        <w:rPr>
          <w:sz w:val="30"/>
          <w:szCs w:val="30"/>
        </w:rPr>
        <w:t xml:space="preserve"> </w:t>
      </w:r>
      <w:proofErr w:type="spellStart"/>
      <w:r w:rsidRPr="00915822">
        <w:rPr>
          <w:sz w:val="30"/>
          <w:szCs w:val="30"/>
        </w:rPr>
        <w:t>мощностей</w:t>
      </w:r>
      <w:proofErr w:type="spellEnd"/>
      <w:r w:rsidRPr="00915822">
        <w:rPr>
          <w:sz w:val="30"/>
          <w:szCs w:val="30"/>
        </w:rPr>
        <w:t xml:space="preserve"> </w:t>
      </w:r>
      <w:r w:rsidRPr="00915822">
        <w:rPr>
          <w:position w:val="-30"/>
          <w:sz w:val="30"/>
          <w:szCs w:val="30"/>
        </w:rPr>
        <w:object w:dxaOrig="660" w:dyaOrig="740">
          <v:shape id="_x0000_i1048" type="#_x0000_t75" style="width:33pt;height:36.75pt" o:ole="" fillcolor="window">
            <v:imagedata r:id="rId51" o:title=""/>
          </v:shape>
          <o:OLEObject Type="Embed" ProgID="Equation.3" ShapeID="_x0000_i1048" DrawAspect="Content" ObjectID="_1717089469" r:id="rId52"/>
        </w:object>
      </w:r>
      <w:r w:rsidRPr="00915822">
        <w:rPr>
          <w:sz w:val="30"/>
          <w:szCs w:val="30"/>
        </w:rPr>
        <w:t>,</w:t>
      </w:r>
    </w:p>
    <w:p w:rsidR="009923B6" w:rsidRPr="00915822" w:rsidRDefault="009923B6" w:rsidP="009923B6">
      <w:pPr>
        <w:numPr>
          <w:ilvl w:val="0"/>
          <w:numId w:val="4"/>
        </w:numPr>
        <w:tabs>
          <w:tab w:val="clear" w:pos="960"/>
          <w:tab w:val="num" w:pos="240"/>
        </w:tabs>
        <w:spacing w:line="220" w:lineRule="auto"/>
        <w:ind w:left="840" w:hanging="273"/>
        <w:jc w:val="both"/>
        <w:rPr>
          <w:sz w:val="30"/>
          <w:szCs w:val="30"/>
          <w:lang w:val="ru-RU"/>
        </w:rPr>
      </w:pPr>
      <w:r w:rsidRPr="00915822">
        <w:rPr>
          <w:sz w:val="30"/>
          <w:szCs w:val="30"/>
          <w:lang w:val="ru-RU"/>
        </w:rPr>
        <w:t>соотношения производственных мощностей и активной части о</w:t>
      </w:r>
      <w:r w:rsidRPr="00915822">
        <w:rPr>
          <w:sz w:val="30"/>
          <w:szCs w:val="30"/>
          <w:lang w:val="ru-RU"/>
        </w:rPr>
        <w:t>с</w:t>
      </w:r>
      <w:r w:rsidRPr="00915822">
        <w:rPr>
          <w:sz w:val="30"/>
          <w:szCs w:val="30"/>
          <w:lang w:val="ru-RU"/>
        </w:rPr>
        <w:t xml:space="preserve">новных средств </w:t>
      </w:r>
      <w:r w:rsidRPr="00915822">
        <w:rPr>
          <w:position w:val="-34"/>
          <w:sz w:val="30"/>
          <w:szCs w:val="30"/>
        </w:rPr>
        <w:object w:dxaOrig="620" w:dyaOrig="800">
          <v:shape id="_x0000_i1049" type="#_x0000_t75" style="width:30.75pt;height:39.75pt" o:ole="" fillcolor="window">
            <v:imagedata r:id="rId53" o:title=""/>
          </v:shape>
          <o:OLEObject Type="Embed" ProgID="Equation.3" ShapeID="_x0000_i1049" DrawAspect="Content" ObjectID="_1717089470" r:id="rId54"/>
        </w:object>
      </w:r>
      <w:r w:rsidRPr="00915822">
        <w:rPr>
          <w:sz w:val="30"/>
          <w:szCs w:val="30"/>
          <w:lang w:val="ru-RU"/>
        </w:rPr>
        <w:t>,</w:t>
      </w:r>
    </w:p>
    <w:p w:rsidR="009923B6" w:rsidRPr="00915822" w:rsidRDefault="009923B6" w:rsidP="009923B6">
      <w:pPr>
        <w:numPr>
          <w:ilvl w:val="0"/>
          <w:numId w:val="4"/>
        </w:numPr>
        <w:tabs>
          <w:tab w:val="clear" w:pos="960"/>
          <w:tab w:val="num" w:pos="240"/>
        </w:tabs>
        <w:spacing w:line="220" w:lineRule="auto"/>
        <w:ind w:left="840" w:hanging="273"/>
        <w:jc w:val="both"/>
        <w:rPr>
          <w:sz w:val="30"/>
          <w:szCs w:val="30"/>
          <w:lang w:val="ru-RU"/>
        </w:rPr>
      </w:pPr>
      <w:r w:rsidRPr="00915822">
        <w:rPr>
          <w:sz w:val="30"/>
          <w:szCs w:val="30"/>
          <w:lang w:val="ru-RU"/>
        </w:rPr>
        <w:t>доли активной части основных средств в их общей сто</w:t>
      </w:r>
      <w:r w:rsidRPr="00915822">
        <w:rPr>
          <w:sz w:val="30"/>
          <w:szCs w:val="30"/>
          <w:lang w:val="ru-RU"/>
        </w:rPr>
        <w:t>и</w:t>
      </w:r>
      <w:r w:rsidRPr="00915822">
        <w:rPr>
          <w:sz w:val="30"/>
          <w:szCs w:val="30"/>
          <w:lang w:val="ru-RU"/>
        </w:rPr>
        <w:t xml:space="preserve">мости </w:t>
      </w:r>
      <w:r w:rsidRPr="00915822">
        <w:rPr>
          <w:position w:val="-30"/>
          <w:sz w:val="30"/>
          <w:szCs w:val="30"/>
        </w:rPr>
        <w:object w:dxaOrig="620" w:dyaOrig="740">
          <v:shape id="_x0000_i1050" type="#_x0000_t75" style="width:30.75pt;height:36.75pt" o:ole="" fillcolor="window">
            <v:imagedata r:id="rId33" o:title=""/>
          </v:shape>
          <o:OLEObject Type="Embed" ProgID="Equation.3" ShapeID="_x0000_i1050" DrawAspect="Content" ObjectID="_1717089471" r:id="rId55"/>
        </w:object>
      </w:r>
      <w:r w:rsidRPr="00915822">
        <w:rPr>
          <w:sz w:val="30"/>
          <w:szCs w:val="30"/>
          <w:lang w:val="ru-RU"/>
        </w:rPr>
        <w:t>.</w:t>
      </w:r>
    </w:p>
    <w:p w:rsidR="009923B6" w:rsidRPr="00915822" w:rsidRDefault="009923B6" w:rsidP="009923B6">
      <w:pPr>
        <w:spacing w:line="220" w:lineRule="auto"/>
        <w:ind w:firstLine="600"/>
        <w:jc w:val="both"/>
        <w:rPr>
          <w:sz w:val="30"/>
          <w:szCs w:val="30"/>
          <w:lang w:val="ru-RU"/>
        </w:rPr>
      </w:pPr>
      <w:r w:rsidRPr="00915822">
        <w:rPr>
          <w:sz w:val="30"/>
          <w:szCs w:val="30"/>
          <w:lang w:val="ru-RU"/>
        </w:rPr>
        <w:t>При расчете общего показателя фондоотдачи стоимости основных средств учит</w:t>
      </w:r>
      <w:r w:rsidRPr="00915822">
        <w:rPr>
          <w:sz w:val="30"/>
          <w:szCs w:val="30"/>
          <w:lang w:val="ru-RU"/>
        </w:rPr>
        <w:t>ы</w:t>
      </w:r>
      <w:r w:rsidRPr="00915822">
        <w:rPr>
          <w:sz w:val="30"/>
          <w:szCs w:val="30"/>
          <w:lang w:val="ru-RU"/>
        </w:rPr>
        <w:t>ваются собственные и арендованные средства. При этом не учитываются средства, нах</w:t>
      </w:r>
      <w:r w:rsidRPr="00915822">
        <w:rPr>
          <w:sz w:val="30"/>
          <w:szCs w:val="30"/>
          <w:lang w:val="ru-RU"/>
        </w:rPr>
        <w:t>о</w:t>
      </w:r>
      <w:r w:rsidRPr="00915822">
        <w:rPr>
          <w:sz w:val="30"/>
          <w:szCs w:val="30"/>
          <w:lang w:val="ru-RU"/>
        </w:rPr>
        <w:t xml:space="preserve">дящиеся на консервации или сданные в аренду другим организациям. </w:t>
      </w:r>
    </w:p>
    <w:p w:rsidR="009923B6" w:rsidRDefault="009923B6" w:rsidP="009923B6">
      <w:pPr>
        <w:pStyle w:val="21"/>
      </w:pPr>
      <w:r w:rsidRPr="00CD37B1">
        <w:t>Использование</w:t>
      </w:r>
      <w:r w:rsidRPr="00F106F3">
        <w:t xml:space="preserve"> основных </w:t>
      </w:r>
      <w:r>
        <w:t>сре</w:t>
      </w:r>
      <w:proofErr w:type="gramStart"/>
      <w:r>
        <w:t xml:space="preserve">дств </w:t>
      </w:r>
      <w:r w:rsidRPr="00F106F3">
        <w:t>пр</w:t>
      </w:r>
      <w:proofErr w:type="gramEnd"/>
      <w:r w:rsidRPr="00F106F3">
        <w:t xml:space="preserve">изнается эффективным, если относительный прирост выручки от продаж или прибыли превышает </w:t>
      </w:r>
      <w:r w:rsidRPr="00F106F3">
        <w:lastRenderedPageBreak/>
        <w:t>относ</w:t>
      </w:r>
      <w:r w:rsidRPr="00F106F3">
        <w:t>и</w:t>
      </w:r>
      <w:r w:rsidRPr="00F106F3">
        <w:t>тельный прирост стоимости осно</w:t>
      </w:r>
      <w:r>
        <w:t>в</w:t>
      </w:r>
      <w:r w:rsidRPr="00F106F3">
        <w:t>ных средств за анализируемый период.</w:t>
      </w:r>
    </w:p>
    <w:p w:rsidR="00EB1524" w:rsidRPr="009923B6" w:rsidRDefault="00EB1524">
      <w:pPr>
        <w:rPr>
          <w:lang w:val="ru-RU"/>
        </w:rPr>
      </w:pPr>
    </w:p>
    <w:sectPr w:rsidR="00EB1524" w:rsidRPr="009923B6" w:rsidSect="00EB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92D"/>
    <w:multiLevelType w:val="multilevel"/>
    <w:tmpl w:val="B8CE680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  <w:sz w:val="30"/>
        <w:szCs w:val="3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0AA63C14"/>
    <w:multiLevelType w:val="hybridMultilevel"/>
    <w:tmpl w:val="CDE6AB6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EF3817"/>
    <w:multiLevelType w:val="multilevel"/>
    <w:tmpl w:val="3B9A0B6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3">
    <w:nsid w:val="6B567FB7"/>
    <w:multiLevelType w:val="multilevel"/>
    <w:tmpl w:val="503EDFC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23B6"/>
    <w:rsid w:val="009923B6"/>
    <w:rsid w:val="00EB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9923B6"/>
    <w:pPr>
      <w:keepNext/>
      <w:jc w:val="right"/>
      <w:outlineLvl w:val="1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2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2т"/>
    <w:basedOn w:val="a"/>
    <w:link w:val="22"/>
    <w:rsid w:val="009923B6"/>
    <w:pPr>
      <w:ind w:firstLine="567"/>
      <w:jc w:val="both"/>
    </w:pPr>
    <w:rPr>
      <w:sz w:val="30"/>
      <w:szCs w:val="30"/>
      <w:lang w:val="ru-RU"/>
    </w:rPr>
  </w:style>
  <w:style w:type="character" w:customStyle="1" w:styleId="22">
    <w:name w:val="2т Знак"/>
    <w:link w:val="21"/>
    <w:rsid w:val="009923B6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1288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Koroleva</cp:lastModifiedBy>
  <cp:revision>1</cp:revision>
  <dcterms:created xsi:type="dcterms:W3CDTF">2022-06-18T16:30:00Z</dcterms:created>
  <dcterms:modified xsi:type="dcterms:W3CDTF">2022-06-18T16:31:00Z</dcterms:modified>
</cp:coreProperties>
</file>