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33" w:rsidRPr="00E11ACA" w:rsidRDefault="00ED7333" w:rsidP="00ED7333">
      <w:pPr>
        <w:pStyle w:val="2"/>
        <w:spacing w:after="120"/>
        <w:ind w:firstLine="0"/>
        <w:jc w:val="center"/>
        <w:rPr>
          <w:b/>
          <w:i/>
        </w:rPr>
      </w:pPr>
      <w:r w:rsidRPr="00E11ACA">
        <w:rPr>
          <w:b/>
          <w:i/>
        </w:rPr>
        <w:t>Зарубежные методики оценки вероятности банкротства</w:t>
      </w:r>
    </w:p>
    <w:p w:rsidR="00ED7333" w:rsidRPr="009D1AF9" w:rsidRDefault="00ED7333" w:rsidP="00ED7333">
      <w:pPr>
        <w:pStyle w:val="2"/>
        <w:rPr>
          <w:u w:val="single"/>
        </w:rPr>
      </w:pPr>
      <w:smartTag w:uri="urn:schemas-microsoft-com:office:smarttags" w:element="place">
        <w:r>
          <w:rPr>
            <w:b/>
            <w:u w:val="single"/>
            <w:lang w:val="en-US"/>
          </w:rPr>
          <w:t>I</w:t>
        </w:r>
        <w:r w:rsidRPr="009D1AF9">
          <w:rPr>
            <w:b/>
            <w:u w:val="single"/>
          </w:rPr>
          <w:t>.</w:t>
        </w:r>
      </w:smartTag>
      <w:r w:rsidRPr="009D1AF9">
        <w:rPr>
          <w:u w:val="single"/>
        </w:rPr>
        <w:t xml:space="preserve"> </w:t>
      </w:r>
      <w:r>
        <w:rPr>
          <w:u w:val="single"/>
        </w:rPr>
        <w:t>Модели Альтмана</w:t>
      </w:r>
    </w:p>
    <w:p w:rsidR="00ED7333" w:rsidRPr="00E359F1" w:rsidRDefault="00ED7333" w:rsidP="00ED7333">
      <w:pPr>
        <w:pStyle w:val="2"/>
      </w:pPr>
      <w:r w:rsidRPr="0067687D">
        <w:t>1.</w:t>
      </w:r>
      <w:r>
        <w:t xml:space="preserve"> </w:t>
      </w:r>
      <w:r w:rsidRPr="00E359F1">
        <w:t>Двухфакторная модель Альтмана</w:t>
      </w:r>
    </w:p>
    <w:p w:rsidR="00ED7333" w:rsidRPr="002463A2" w:rsidRDefault="00ED7333" w:rsidP="00ED7333">
      <w:pPr>
        <w:pStyle w:val="2"/>
        <w:ind w:firstLine="0"/>
        <w:jc w:val="center"/>
        <w:rPr>
          <w:spacing w:val="-6"/>
          <w:sz w:val="26"/>
          <w:szCs w:val="26"/>
        </w:rPr>
      </w:pPr>
      <w:r w:rsidRPr="002463A2">
        <w:rPr>
          <w:i/>
          <w:spacing w:val="-6"/>
          <w:sz w:val="26"/>
          <w:szCs w:val="26"/>
        </w:rPr>
        <w:t>F</w:t>
      </w:r>
      <w:proofErr w:type="gramStart"/>
      <w:r w:rsidRPr="002463A2">
        <w:rPr>
          <w:i/>
          <w:spacing w:val="-6"/>
          <w:sz w:val="26"/>
          <w:szCs w:val="26"/>
        </w:rPr>
        <w:t xml:space="preserve"> </w:t>
      </w:r>
      <w:r w:rsidRPr="002463A2">
        <w:rPr>
          <w:spacing w:val="-6"/>
          <w:sz w:val="26"/>
          <w:szCs w:val="26"/>
        </w:rPr>
        <w:t xml:space="preserve">= </w:t>
      </w:r>
      <w:r w:rsidRPr="002463A2">
        <w:rPr>
          <w:spacing w:val="-6"/>
          <w:sz w:val="26"/>
          <w:szCs w:val="26"/>
        </w:rPr>
        <w:sym w:font="Symbol" w:char="F061"/>
      </w:r>
      <w:r w:rsidRPr="002463A2">
        <w:rPr>
          <w:spacing w:val="-6"/>
          <w:sz w:val="26"/>
          <w:szCs w:val="26"/>
        </w:rPr>
        <w:t xml:space="preserve"> + β </w:t>
      </w:r>
      <w:r w:rsidRPr="002463A2">
        <w:rPr>
          <w:i/>
          <w:spacing w:val="-6"/>
          <w:sz w:val="26"/>
          <w:szCs w:val="26"/>
        </w:rPr>
        <w:t>К</w:t>
      </w:r>
      <w:proofErr w:type="gramEnd"/>
      <w:r w:rsidRPr="002463A2">
        <w:rPr>
          <w:i/>
          <w:spacing w:val="-6"/>
          <w:sz w:val="26"/>
          <w:szCs w:val="26"/>
        </w:rPr>
        <w:t xml:space="preserve"> покрытия</w:t>
      </w:r>
      <w:r w:rsidRPr="002463A2">
        <w:rPr>
          <w:spacing w:val="-6"/>
          <w:sz w:val="26"/>
          <w:szCs w:val="26"/>
        </w:rPr>
        <w:t xml:space="preserve"> + γ </w:t>
      </w:r>
      <w:r w:rsidRPr="002463A2">
        <w:rPr>
          <w:spacing w:val="-6"/>
          <w:sz w:val="26"/>
          <w:szCs w:val="26"/>
        </w:rPr>
        <w:sym w:font="Symbol" w:char="F0B4"/>
      </w:r>
      <w:r w:rsidRPr="002463A2">
        <w:rPr>
          <w:spacing w:val="-6"/>
          <w:sz w:val="26"/>
          <w:szCs w:val="26"/>
        </w:rPr>
        <w:t xml:space="preserve"> </w:t>
      </w:r>
      <w:r w:rsidRPr="002463A2">
        <w:rPr>
          <w:i/>
          <w:spacing w:val="-6"/>
          <w:sz w:val="26"/>
          <w:szCs w:val="26"/>
        </w:rPr>
        <w:t>удельный вес заёмных средств в акт</w:t>
      </w:r>
      <w:r w:rsidRPr="002463A2">
        <w:rPr>
          <w:i/>
          <w:spacing w:val="-6"/>
          <w:sz w:val="26"/>
          <w:szCs w:val="26"/>
        </w:rPr>
        <w:t>и</w:t>
      </w:r>
      <w:r w:rsidRPr="002463A2">
        <w:rPr>
          <w:i/>
          <w:spacing w:val="-6"/>
          <w:sz w:val="26"/>
          <w:szCs w:val="26"/>
        </w:rPr>
        <w:t>ве</w:t>
      </w:r>
      <w:r w:rsidRPr="002463A2">
        <w:rPr>
          <w:spacing w:val="-6"/>
          <w:sz w:val="26"/>
          <w:szCs w:val="26"/>
        </w:rPr>
        <w:t>,</w:t>
      </w:r>
    </w:p>
    <w:p w:rsidR="00ED7333" w:rsidRPr="00E359F1" w:rsidRDefault="00ED7333" w:rsidP="00ED7333">
      <w:pPr>
        <w:pStyle w:val="2"/>
        <w:ind w:firstLine="0"/>
      </w:pPr>
      <w:r w:rsidRPr="00E359F1">
        <w:t xml:space="preserve">где </w:t>
      </w:r>
      <w:r>
        <w:t xml:space="preserve"> </w:t>
      </w:r>
      <w:r w:rsidRPr="0067687D">
        <w:rPr>
          <w:spacing w:val="-6"/>
        </w:rPr>
        <w:sym w:font="Symbol" w:char="F061"/>
      </w:r>
      <w:r w:rsidRPr="00E359F1">
        <w:t xml:space="preserve"> = </w:t>
      </w:r>
      <w:r>
        <w:t>–</w:t>
      </w:r>
      <w:r w:rsidRPr="00E359F1">
        <w:t>0,3877</w:t>
      </w:r>
      <w:r>
        <w:t>;</w:t>
      </w:r>
    </w:p>
    <w:p w:rsidR="00ED7333" w:rsidRPr="00E359F1" w:rsidRDefault="00ED7333" w:rsidP="00ED7333">
      <w:pPr>
        <w:pStyle w:val="2"/>
      </w:pPr>
      <w:r w:rsidRPr="00E359F1">
        <w:t xml:space="preserve">β = </w:t>
      </w:r>
      <w:r>
        <w:t>–</w:t>
      </w:r>
      <w:r w:rsidRPr="00E359F1">
        <w:t>1,0736</w:t>
      </w:r>
      <w:r>
        <w:t>;</w:t>
      </w:r>
    </w:p>
    <w:p w:rsidR="00ED7333" w:rsidRPr="00E359F1" w:rsidRDefault="00ED7333" w:rsidP="00ED7333">
      <w:pPr>
        <w:pStyle w:val="2"/>
      </w:pPr>
      <w:r w:rsidRPr="00E359F1">
        <w:t>γ = 0,05779</w:t>
      </w:r>
      <w:r>
        <w:t>.</w:t>
      </w:r>
    </w:p>
    <w:p w:rsidR="00ED7333" w:rsidRPr="00E359F1" w:rsidRDefault="00ED7333" w:rsidP="00ED7333">
      <w:pPr>
        <w:pStyle w:val="2"/>
        <w:spacing w:before="120"/>
      </w:pPr>
      <w:r w:rsidRPr="00E359F1">
        <w:t xml:space="preserve">Если расчётное значение </w:t>
      </w:r>
      <w:r w:rsidRPr="0067687D">
        <w:rPr>
          <w:i/>
        </w:rPr>
        <w:t>F</w:t>
      </w:r>
      <w:r w:rsidRPr="00E359F1">
        <w:t>&lt;0, то вероятность банкротства  нев</w:t>
      </w:r>
      <w:r w:rsidRPr="00E359F1">
        <w:t>ы</w:t>
      </w:r>
      <w:r w:rsidRPr="00E359F1">
        <w:t xml:space="preserve">сока, если </w:t>
      </w:r>
      <w:r w:rsidRPr="0067687D">
        <w:rPr>
          <w:i/>
        </w:rPr>
        <w:t>F</w:t>
      </w:r>
      <w:r w:rsidRPr="00E359F1">
        <w:t xml:space="preserve"> &gt; 0, то вероятно наступление банкротства.</w:t>
      </w:r>
    </w:p>
    <w:p w:rsidR="00ED7333" w:rsidRDefault="00ED7333" w:rsidP="00ED7333">
      <w:pPr>
        <w:pStyle w:val="2"/>
        <w:spacing w:before="120"/>
      </w:pPr>
    </w:p>
    <w:p w:rsidR="00ED7333" w:rsidRDefault="00ED7333" w:rsidP="00ED7333">
      <w:pPr>
        <w:pStyle w:val="2"/>
        <w:spacing w:before="120"/>
      </w:pPr>
      <w:r>
        <w:t xml:space="preserve">2. </w:t>
      </w:r>
      <w:r w:rsidRPr="00E359F1">
        <w:t>Оригинальная модель для предприятий, акции которых котир</w:t>
      </w:r>
      <w:r w:rsidRPr="00E359F1">
        <w:t>у</w:t>
      </w:r>
      <w:r w:rsidRPr="00E359F1">
        <w:t>ются на рынке.</w:t>
      </w:r>
    </w:p>
    <w:p w:rsidR="00ED7333" w:rsidRDefault="00ED7333" w:rsidP="00ED7333">
      <w:pPr>
        <w:pStyle w:val="2"/>
        <w:spacing w:before="120"/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Z-счёт=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Оборотный капитал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*1,2+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Нераспределённая прибыль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*1,4+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Результат от реализации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*3,3+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Рыночная стоимость акций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Сумма внешних обязательств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*0,6+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Денежная выручка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*1</m:t>
          </m:r>
        </m:oMath>
      </m:oMathPara>
    </w:p>
    <w:p w:rsidR="00ED7333" w:rsidRPr="00E359F1" w:rsidRDefault="00ED7333" w:rsidP="00ED7333">
      <w:pPr>
        <w:pStyle w:val="2"/>
        <w:ind w:firstLine="0"/>
      </w:pPr>
    </w:p>
    <w:p w:rsidR="00ED7333" w:rsidRPr="00E359F1" w:rsidRDefault="00ED7333" w:rsidP="00ED7333">
      <w:pPr>
        <w:pStyle w:val="2"/>
      </w:pPr>
      <w:r w:rsidRPr="00E359F1">
        <w:t xml:space="preserve">Пограничные значения </w:t>
      </w:r>
      <w:r w:rsidRPr="009D1AF9">
        <w:rPr>
          <w:i/>
        </w:rPr>
        <w:t>Z</w:t>
      </w:r>
      <w:r>
        <w:t>-</w:t>
      </w:r>
      <w:r w:rsidRPr="00E359F1">
        <w:t>счёта</w:t>
      </w:r>
      <w:r>
        <w:t>:</w:t>
      </w:r>
    </w:p>
    <w:tbl>
      <w:tblPr>
        <w:tblW w:w="0" w:type="auto"/>
        <w:tblLook w:val="01E0"/>
      </w:tblPr>
      <w:tblGrid>
        <w:gridCol w:w="3174"/>
        <w:gridCol w:w="3821"/>
      </w:tblGrid>
      <w:tr w:rsidR="00ED7333" w:rsidRPr="00E359F1" w:rsidTr="00215232">
        <w:tc>
          <w:tcPr>
            <w:tcW w:w="3174" w:type="dxa"/>
          </w:tcPr>
          <w:p w:rsidR="00ED7333" w:rsidRPr="00E359F1" w:rsidRDefault="00ED7333" w:rsidP="00215232"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Значение </w:t>
            </w:r>
            <w:r w:rsidRPr="009D1AF9">
              <w:rPr>
                <w:i/>
                <w:sz w:val="26"/>
                <w:szCs w:val="26"/>
              </w:rPr>
              <w:t>Z</w:t>
            </w:r>
            <w:r>
              <w:rPr>
                <w:sz w:val="26"/>
                <w:szCs w:val="26"/>
              </w:rPr>
              <w:t>-</w:t>
            </w:r>
            <w:r w:rsidRPr="00E359F1">
              <w:rPr>
                <w:sz w:val="26"/>
                <w:szCs w:val="26"/>
              </w:rPr>
              <w:t>счёта</w:t>
            </w:r>
          </w:p>
        </w:tc>
        <w:tc>
          <w:tcPr>
            <w:tcW w:w="3821" w:type="dxa"/>
          </w:tcPr>
          <w:p w:rsidR="00ED7333" w:rsidRPr="00E359F1" w:rsidRDefault="00ED7333" w:rsidP="00215232">
            <w:pPr>
              <w:jc w:val="both"/>
              <w:rPr>
                <w:sz w:val="26"/>
                <w:szCs w:val="26"/>
              </w:rPr>
            </w:pPr>
            <w:r w:rsidRPr="00E359F1">
              <w:rPr>
                <w:sz w:val="26"/>
                <w:szCs w:val="26"/>
              </w:rPr>
              <w:t>Вероятность банкротства</w:t>
            </w:r>
          </w:p>
        </w:tc>
      </w:tr>
      <w:tr w:rsidR="00ED7333" w:rsidRPr="00E359F1" w:rsidTr="00215232">
        <w:tc>
          <w:tcPr>
            <w:tcW w:w="3174" w:type="dxa"/>
          </w:tcPr>
          <w:p w:rsidR="00ED7333" w:rsidRPr="00E359F1" w:rsidRDefault="00ED7333" w:rsidP="00215232">
            <w:pPr>
              <w:ind w:left="616"/>
              <w:jc w:val="both"/>
              <w:rPr>
                <w:sz w:val="26"/>
                <w:szCs w:val="26"/>
              </w:rPr>
            </w:pPr>
            <w:r w:rsidRPr="00E359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Pr="00E359F1">
              <w:rPr>
                <w:sz w:val="26"/>
                <w:szCs w:val="26"/>
              </w:rPr>
              <w:t>8 и меньше</w:t>
            </w:r>
          </w:p>
        </w:tc>
        <w:tc>
          <w:tcPr>
            <w:tcW w:w="3821" w:type="dxa"/>
          </w:tcPr>
          <w:p w:rsidR="00ED7333" w:rsidRPr="00E359F1" w:rsidRDefault="00ED7333" w:rsidP="00215232">
            <w:pPr>
              <w:jc w:val="both"/>
              <w:rPr>
                <w:sz w:val="26"/>
                <w:szCs w:val="26"/>
              </w:rPr>
            </w:pPr>
            <w:r w:rsidRPr="00E359F1">
              <w:rPr>
                <w:sz w:val="26"/>
                <w:szCs w:val="26"/>
              </w:rPr>
              <w:t>очень высокая</w:t>
            </w:r>
          </w:p>
        </w:tc>
      </w:tr>
      <w:tr w:rsidR="00ED7333" w:rsidRPr="00E359F1" w:rsidTr="00215232">
        <w:tc>
          <w:tcPr>
            <w:tcW w:w="3174" w:type="dxa"/>
          </w:tcPr>
          <w:p w:rsidR="00ED7333" w:rsidRPr="00E359F1" w:rsidRDefault="00ED7333" w:rsidP="00215232">
            <w:pPr>
              <w:ind w:left="616"/>
              <w:jc w:val="both"/>
              <w:rPr>
                <w:sz w:val="26"/>
                <w:szCs w:val="26"/>
              </w:rPr>
            </w:pPr>
            <w:r w:rsidRPr="00E359F1">
              <w:rPr>
                <w:sz w:val="26"/>
                <w:szCs w:val="26"/>
              </w:rPr>
              <w:t>от 1,81 до 2,7</w:t>
            </w:r>
          </w:p>
        </w:tc>
        <w:tc>
          <w:tcPr>
            <w:tcW w:w="3821" w:type="dxa"/>
          </w:tcPr>
          <w:p w:rsidR="00ED7333" w:rsidRPr="00E359F1" w:rsidRDefault="00ED7333" w:rsidP="00215232">
            <w:pPr>
              <w:jc w:val="both"/>
              <w:rPr>
                <w:sz w:val="26"/>
                <w:szCs w:val="26"/>
              </w:rPr>
            </w:pPr>
            <w:r w:rsidRPr="00E359F1">
              <w:rPr>
                <w:sz w:val="26"/>
                <w:szCs w:val="26"/>
              </w:rPr>
              <w:t>высокая</w:t>
            </w:r>
          </w:p>
        </w:tc>
      </w:tr>
      <w:tr w:rsidR="00ED7333" w:rsidRPr="00E359F1" w:rsidTr="00215232">
        <w:tc>
          <w:tcPr>
            <w:tcW w:w="3174" w:type="dxa"/>
          </w:tcPr>
          <w:p w:rsidR="00ED7333" w:rsidRPr="00E359F1" w:rsidRDefault="00ED7333" w:rsidP="00215232">
            <w:pPr>
              <w:ind w:left="616"/>
              <w:jc w:val="both"/>
              <w:rPr>
                <w:sz w:val="26"/>
                <w:szCs w:val="26"/>
              </w:rPr>
            </w:pPr>
            <w:r w:rsidRPr="00E359F1">
              <w:rPr>
                <w:sz w:val="26"/>
                <w:szCs w:val="26"/>
              </w:rPr>
              <w:t>от 2,71 до 3</w:t>
            </w:r>
          </w:p>
        </w:tc>
        <w:tc>
          <w:tcPr>
            <w:tcW w:w="3821" w:type="dxa"/>
          </w:tcPr>
          <w:p w:rsidR="00ED7333" w:rsidRPr="00E359F1" w:rsidRDefault="00ED7333" w:rsidP="00215232">
            <w:pPr>
              <w:jc w:val="both"/>
              <w:rPr>
                <w:sz w:val="26"/>
                <w:szCs w:val="26"/>
              </w:rPr>
            </w:pPr>
            <w:r w:rsidRPr="00E359F1">
              <w:rPr>
                <w:sz w:val="26"/>
                <w:szCs w:val="26"/>
              </w:rPr>
              <w:t>существует возможность</w:t>
            </w:r>
          </w:p>
        </w:tc>
      </w:tr>
      <w:tr w:rsidR="00ED7333" w:rsidRPr="00E359F1" w:rsidTr="00215232">
        <w:tc>
          <w:tcPr>
            <w:tcW w:w="3174" w:type="dxa"/>
          </w:tcPr>
          <w:p w:rsidR="00ED7333" w:rsidRPr="00E359F1" w:rsidRDefault="00ED7333" w:rsidP="00215232">
            <w:pPr>
              <w:ind w:left="616"/>
              <w:jc w:val="both"/>
              <w:rPr>
                <w:sz w:val="26"/>
                <w:szCs w:val="26"/>
              </w:rPr>
            </w:pPr>
            <w:r w:rsidRPr="00E359F1">
              <w:rPr>
                <w:sz w:val="26"/>
                <w:szCs w:val="26"/>
              </w:rPr>
              <w:t>выше 3</w:t>
            </w:r>
          </w:p>
        </w:tc>
        <w:tc>
          <w:tcPr>
            <w:tcW w:w="3821" w:type="dxa"/>
          </w:tcPr>
          <w:p w:rsidR="00ED7333" w:rsidRPr="00E359F1" w:rsidRDefault="00ED7333" w:rsidP="00215232">
            <w:pPr>
              <w:jc w:val="both"/>
              <w:rPr>
                <w:sz w:val="26"/>
                <w:szCs w:val="26"/>
              </w:rPr>
            </w:pPr>
            <w:r w:rsidRPr="00E359F1">
              <w:rPr>
                <w:sz w:val="26"/>
                <w:szCs w:val="26"/>
              </w:rPr>
              <w:t>очень низкая</w:t>
            </w:r>
          </w:p>
        </w:tc>
      </w:tr>
    </w:tbl>
    <w:p w:rsidR="00ED7333" w:rsidRDefault="00ED7333" w:rsidP="00ED7333">
      <w:pPr>
        <w:pStyle w:val="2"/>
        <w:spacing w:before="120"/>
        <w:rPr>
          <w:spacing w:val="-6"/>
        </w:rPr>
      </w:pPr>
    </w:p>
    <w:p w:rsidR="00ED7333" w:rsidRDefault="00ED7333" w:rsidP="00ED7333">
      <w:pPr>
        <w:pStyle w:val="2"/>
        <w:spacing w:before="120"/>
        <w:rPr>
          <w:spacing w:val="-6"/>
        </w:rPr>
      </w:pPr>
      <w:r w:rsidRPr="009D1AF9">
        <w:rPr>
          <w:spacing w:val="-6"/>
        </w:rPr>
        <w:t>3. Усовершенствованная модель для производственных предпр</w:t>
      </w:r>
      <w:r w:rsidRPr="009D1AF9">
        <w:rPr>
          <w:spacing w:val="-6"/>
        </w:rPr>
        <w:t>и</w:t>
      </w:r>
      <w:r w:rsidRPr="009D1AF9">
        <w:rPr>
          <w:spacing w:val="-6"/>
        </w:rPr>
        <w:t>ятий.</w:t>
      </w:r>
    </w:p>
    <w:p w:rsidR="00ED7333" w:rsidRDefault="00ED7333" w:rsidP="00ED7333">
      <w:pPr>
        <w:pStyle w:val="2"/>
        <w:spacing w:before="120"/>
        <w:rPr>
          <w:spacing w:val="-6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Z-счёт=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Оборотный капитал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*0,717+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Нераспределённая прибыль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*0,848+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Прибыль до налогооблажения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*3,107+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Собственный капитал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Заёмный капитал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*0,420+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Выручка от продаж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*0,998</m:t>
          </m:r>
        </m:oMath>
      </m:oMathPara>
    </w:p>
    <w:p w:rsidR="00ED7333" w:rsidRDefault="00ED7333" w:rsidP="00ED7333">
      <w:pPr>
        <w:pStyle w:val="2"/>
      </w:pPr>
      <w:r w:rsidRPr="00E359F1">
        <w:t>Вероятность банкротства определяется по тем же значениям.</w:t>
      </w:r>
    </w:p>
    <w:p w:rsidR="00ED7333" w:rsidRDefault="00ED7333" w:rsidP="00ED7333">
      <w:pPr>
        <w:pStyle w:val="2"/>
      </w:pPr>
    </w:p>
    <w:p w:rsidR="00ED7333" w:rsidRPr="00E359F1" w:rsidRDefault="00ED7333" w:rsidP="00ED7333">
      <w:pPr>
        <w:pStyle w:val="2"/>
      </w:pPr>
      <w:r>
        <w:t>4.</w:t>
      </w:r>
      <w:r w:rsidRPr="00E359F1">
        <w:t xml:space="preserve"> Четырёхфакторная модель Альтмана.</w:t>
      </w:r>
    </w:p>
    <w:p w:rsidR="00ED7333" w:rsidRPr="00E359F1" w:rsidRDefault="00ED7333" w:rsidP="00ED7333">
      <w:pPr>
        <w:spacing w:line="360" w:lineRule="auto"/>
        <w:ind w:firstLine="426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У=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Прибыль до налогооблажения</m:t>
                  </m:r>
                </m:num>
                <m:den>
                  <m:r>
                    <w:rPr>
                      <w:rFonts w:ascii="Cambria Math" w:hAnsi="Cambria Math"/>
                    </w:rPr>
                    <m:t>Материальные активы</m:t>
                  </m:r>
                </m:den>
              </m:f>
            </m:e>
          </m:d>
          <m:r>
            <w:rPr>
              <w:rFonts w:ascii="Cambria Math" w:hAnsi="Cambria Math"/>
            </w:rPr>
            <m:t>*19,892+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Оборотные активы</m:t>
                  </m:r>
                </m:num>
                <m:den>
                  <m:r>
                    <w:rPr>
                      <w:rFonts w:ascii="Cambria Math" w:hAnsi="Cambria Math"/>
                    </w:rPr>
                    <m:t>Краткосрочные пассивы</m:t>
                  </m:r>
                </m:den>
              </m:f>
            </m:e>
          </m:d>
          <m:r>
            <w:rPr>
              <w:rFonts w:ascii="Cambria Math" w:hAnsi="Cambria Math"/>
            </w:rPr>
            <m:t>*0,047+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Выручка от продаж</m:t>
                  </m:r>
                </m:num>
                <m:den>
                  <m:r>
                    <w:rPr>
                      <w:rFonts w:ascii="Cambria Math" w:hAnsi="Cambria Math"/>
                    </w:rPr>
                    <m:t>Материальные активы</m:t>
                  </m:r>
                </m:den>
              </m:f>
            </m:e>
          </m:d>
          <m:r>
            <w:rPr>
              <w:rFonts w:ascii="Cambria Math" w:hAnsi="Cambria Math"/>
            </w:rPr>
            <m:t>*0,714+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Операционные активы</m:t>
                  </m:r>
                </m:num>
                <m:den>
                  <m:r>
                    <w:rPr>
                      <w:rFonts w:ascii="Cambria Math" w:hAnsi="Cambria Math"/>
                    </w:rPr>
                    <m:t>Операционные пассивы</m:t>
                  </m:r>
                </m:den>
              </m:f>
            </m:e>
          </m:d>
          <m:r>
            <w:rPr>
              <w:rFonts w:ascii="Cambria Math" w:hAnsi="Cambria Math"/>
            </w:rPr>
            <m:t>*0,486</m:t>
          </m:r>
        </m:oMath>
      </m:oMathPara>
    </w:p>
    <w:p w:rsidR="00ED7333" w:rsidRPr="00E359F1" w:rsidRDefault="00ED7333" w:rsidP="00ED7333">
      <w:pPr>
        <w:pStyle w:val="2"/>
      </w:pPr>
      <w:r w:rsidRPr="00E359F1">
        <w:lastRenderedPageBreak/>
        <w:t>К материальным активам при данном расчёте относят:</w:t>
      </w:r>
    </w:p>
    <w:p w:rsidR="00ED7333" w:rsidRPr="00E359F1" w:rsidRDefault="00ED7333" w:rsidP="00ED7333">
      <w:pPr>
        <w:pStyle w:val="2"/>
      </w:pPr>
      <w:r>
        <w:t>– </w:t>
      </w:r>
      <w:r w:rsidRPr="00E359F1">
        <w:t>основные средства;</w:t>
      </w:r>
    </w:p>
    <w:p w:rsidR="00ED7333" w:rsidRPr="00E359F1" w:rsidRDefault="00ED7333" w:rsidP="00ED7333">
      <w:pPr>
        <w:pStyle w:val="2"/>
      </w:pPr>
      <w:r>
        <w:t>– </w:t>
      </w:r>
      <w:r w:rsidRPr="00E359F1">
        <w:t>незавершённое строительство;</w:t>
      </w:r>
    </w:p>
    <w:p w:rsidR="00ED7333" w:rsidRPr="00E359F1" w:rsidRDefault="00ED7333" w:rsidP="00ED7333">
      <w:pPr>
        <w:pStyle w:val="2"/>
      </w:pPr>
      <w:r>
        <w:t>– </w:t>
      </w:r>
      <w:r w:rsidRPr="00E359F1">
        <w:t>долгосрочные финансовые вложения;</w:t>
      </w:r>
    </w:p>
    <w:p w:rsidR="00ED7333" w:rsidRPr="00E359F1" w:rsidRDefault="00ED7333" w:rsidP="00ED7333">
      <w:pPr>
        <w:pStyle w:val="2"/>
      </w:pPr>
      <w:r>
        <w:t>– </w:t>
      </w:r>
      <w:r w:rsidRPr="00E359F1">
        <w:t>запасы.</w:t>
      </w:r>
    </w:p>
    <w:p w:rsidR="00ED7333" w:rsidRPr="00E359F1" w:rsidRDefault="00ED7333" w:rsidP="00ED7333">
      <w:pPr>
        <w:pStyle w:val="2"/>
        <w:spacing w:before="120"/>
      </w:pPr>
      <w:r w:rsidRPr="009D1AF9">
        <w:rPr>
          <w:i/>
        </w:rPr>
        <w:t>Операционные активы</w:t>
      </w:r>
      <w:r w:rsidRPr="00E359F1">
        <w:t xml:space="preserve"> </w:t>
      </w:r>
      <w:r>
        <w:t>—</w:t>
      </w:r>
      <w:r w:rsidRPr="00E359F1">
        <w:t xml:space="preserve"> это итог баланса за исключением нез</w:t>
      </w:r>
      <w:r w:rsidRPr="00E359F1">
        <w:t>а</w:t>
      </w:r>
      <w:r w:rsidRPr="00E359F1">
        <w:t>вершённого строительства.</w:t>
      </w:r>
    </w:p>
    <w:p w:rsidR="00ED7333" w:rsidRPr="00E359F1" w:rsidRDefault="00ED7333" w:rsidP="00ED7333">
      <w:pPr>
        <w:pStyle w:val="2"/>
      </w:pPr>
      <w:r w:rsidRPr="009D1AF9">
        <w:rPr>
          <w:i/>
        </w:rPr>
        <w:t>Операционные пассивы</w:t>
      </w:r>
      <w:r w:rsidRPr="00E359F1">
        <w:t xml:space="preserve"> </w:t>
      </w:r>
      <w:r>
        <w:t>—</w:t>
      </w:r>
      <w:r w:rsidRPr="00E359F1">
        <w:t xml:space="preserve"> это затраты на производство и реализ</w:t>
      </w:r>
      <w:r w:rsidRPr="00E359F1">
        <w:t>а</w:t>
      </w:r>
      <w:r w:rsidRPr="00E359F1">
        <w:t>цию продукции.</w:t>
      </w:r>
    </w:p>
    <w:p w:rsidR="00ED7333" w:rsidRDefault="00ED7333" w:rsidP="00ED7333">
      <w:pPr>
        <w:pStyle w:val="2"/>
      </w:pPr>
      <w:r w:rsidRPr="00E359F1">
        <w:t>Если</w:t>
      </w:r>
      <w:proofErr w:type="gramStart"/>
      <w:r w:rsidRPr="00E359F1">
        <w:t xml:space="preserve"> </w:t>
      </w:r>
      <w:r w:rsidRPr="009D1AF9">
        <w:rPr>
          <w:i/>
        </w:rPr>
        <w:t>У</w:t>
      </w:r>
      <w:proofErr w:type="gramEnd"/>
      <w:r w:rsidRPr="00E359F1">
        <w:t xml:space="preserve"> &gt; 1,425, то с 95%-</w:t>
      </w:r>
      <w:r>
        <w:t>н</w:t>
      </w:r>
      <w:r w:rsidRPr="00E359F1">
        <w:t>ой вероятностью можно говорить о том, что в ближайший год банкротства не произойдёт и с 97%</w:t>
      </w:r>
      <w:r>
        <w:t xml:space="preserve">-ной </w:t>
      </w:r>
      <w:r w:rsidRPr="00E359F1">
        <w:t>вероятн</w:t>
      </w:r>
      <w:r w:rsidRPr="00E359F1">
        <w:t>о</w:t>
      </w:r>
      <w:r>
        <w:t>стью</w:t>
      </w:r>
      <w:r w:rsidRPr="00E359F1">
        <w:t>, что банкротство не произойдёт в течени</w:t>
      </w:r>
      <w:r>
        <w:t>е</w:t>
      </w:r>
      <w:r w:rsidRPr="00E359F1">
        <w:t xml:space="preserve"> ближайших </w:t>
      </w:r>
      <w:r>
        <w:t>пя</w:t>
      </w:r>
      <w:r w:rsidRPr="00E359F1">
        <w:t>ти лет.</w:t>
      </w:r>
    </w:p>
    <w:p w:rsidR="00ED7333" w:rsidRPr="00E359F1" w:rsidRDefault="00ED7333" w:rsidP="00ED7333">
      <w:pPr>
        <w:pStyle w:val="2"/>
      </w:pPr>
    </w:p>
    <w:p w:rsidR="00ED7333" w:rsidRPr="009D1AF9" w:rsidRDefault="00ED7333" w:rsidP="00ED7333">
      <w:pPr>
        <w:pStyle w:val="2"/>
        <w:rPr>
          <w:u w:val="single"/>
        </w:rPr>
      </w:pPr>
      <w:r>
        <w:rPr>
          <w:b/>
          <w:u w:val="single"/>
          <w:lang w:val="en-US"/>
        </w:rPr>
        <w:t>II</w:t>
      </w:r>
      <w:r w:rsidRPr="009D1AF9">
        <w:rPr>
          <w:b/>
          <w:u w:val="single"/>
        </w:rPr>
        <w:t>.</w:t>
      </w:r>
      <w:r w:rsidRPr="009D1AF9">
        <w:rPr>
          <w:u w:val="single"/>
        </w:rPr>
        <w:t xml:space="preserve"> Модель оценки вероят</w:t>
      </w:r>
      <w:r>
        <w:rPr>
          <w:u w:val="single"/>
        </w:rPr>
        <w:t>ности банкротства Лиса</w:t>
      </w:r>
    </w:p>
    <w:p w:rsidR="00ED7333" w:rsidRPr="00E359F1" w:rsidRDefault="00ED7333" w:rsidP="00ED7333">
      <w:pPr>
        <w:spacing w:line="360" w:lineRule="auto"/>
        <w:jc w:val="center"/>
        <w:rPr>
          <w:i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 xml:space="preserve">Z=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Оборотные активы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2"/>
              <w:szCs w:val="22"/>
            </w:rPr>
            <m:t>*0,063+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Прибыль от продаж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2"/>
              <w:szCs w:val="22"/>
            </w:rPr>
            <m:t>*0,092+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Нераспределёная прибыль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2"/>
              <w:szCs w:val="22"/>
            </w:rPr>
            <m:t>*0,057+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Собственный капитал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Заёмный капитал</m:t>
                  </m:r>
                </m:den>
              </m:f>
            </m:e>
          </m:d>
          <m:r>
            <w:rPr>
              <w:rFonts w:ascii="Cambria Math" w:hAnsi="Cambria Math"/>
              <w:sz w:val="22"/>
              <w:szCs w:val="22"/>
            </w:rPr>
            <m:t>*0,001</m:t>
          </m:r>
        </m:oMath>
      </m:oMathPara>
    </w:p>
    <w:p w:rsidR="00ED7333" w:rsidRPr="00E359F1" w:rsidRDefault="00ED7333" w:rsidP="00ED7333">
      <w:pPr>
        <w:pStyle w:val="2"/>
      </w:pPr>
      <w:r w:rsidRPr="00E359F1">
        <w:t xml:space="preserve">Если </w:t>
      </w:r>
      <w:r w:rsidRPr="00C604FD">
        <w:rPr>
          <w:i/>
        </w:rPr>
        <w:t xml:space="preserve">Z </w:t>
      </w:r>
      <w:r w:rsidRPr="00E359F1">
        <w:t>&lt; 0,037, то вероятность банкротства высока</w:t>
      </w:r>
      <w:r>
        <w:t>,</w:t>
      </w:r>
      <w:r w:rsidRPr="00E359F1">
        <w:t xml:space="preserve"> и наоборот.</w:t>
      </w:r>
    </w:p>
    <w:p w:rsidR="00ED7333" w:rsidRPr="00E359F1" w:rsidRDefault="00ED7333" w:rsidP="00ED7333">
      <w:pPr>
        <w:pStyle w:val="2"/>
      </w:pPr>
    </w:p>
    <w:p w:rsidR="00ED7333" w:rsidRPr="009D1AF9" w:rsidRDefault="00ED7333" w:rsidP="00ED7333">
      <w:pPr>
        <w:pStyle w:val="2"/>
        <w:rPr>
          <w:u w:val="single"/>
        </w:rPr>
      </w:pPr>
      <w:r>
        <w:rPr>
          <w:b/>
          <w:u w:val="single"/>
          <w:lang w:val="en-US"/>
        </w:rPr>
        <w:t>III</w:t>
      </w:r>
      <w:r w:rsidRPr="009D1AF9">
        <w:rPr>
          <w:b/>
          <w:u w:val="single"/>
        </w:rPr>
        <w:t>.</w:t>
      </w:r>
      <w:r w:rsidRPr="009D1AF9">
        <w:rPr>
          <w:u w:val="single"/>
        </w:rPr>
        <w:t xml:space="preserve"> Модель оценки в</w:t>
      </w:r>
      <w:r>
        <w:rPr>
          <w:u w:val="single"/>
        </w:rPr>
        <w:t xml:space="preserve">ероятности банкротства </w:t>
      </w:r>
      <w:proofErr w:type="spellStart"/>
      <w:r>
        <w:rPr>
          <w:u w:val="single"/>
        </w:rPr>
        <w:t>Таффлера</w:t>
      </w:r>
      <w:proofErr w:type="spellEnd"/>
    </w:p>
    <w:p w:rsidR="00ED7333" w:rsidRPr="00E359F1" w:rsidRDefault="00ED7333" w:rsidP="00ED7333">
      <w:pPr>
        <w:pStyle w:val="2"/>
        <w:ind w:firstLine="0"/>
        <w:jc w:val="center"/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Z=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Оборотный капитал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*0,53+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Прибыль от продаж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*0,13+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Нераспределённая прибыль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Сумма активов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*0,18+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Собственный капитал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Заёмный капитал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*0,16</m:t>
          </m:r>
        </m:oMath>
      </m:oMathPara>
    </w:p>
    <w:p w:rsidR="00ED7333" w:rsidRPr="00E359F1" w:rsidRDefault="00ED7333" w:rsidP="00ED7333">
      <w:pPr>
        <w:pStyle w:val="2"/>
      </w:pPr>
      <w:r w:rsidRPr="00E359F1">
        <w:rPr>
          <w:i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.15pt;height:17.25pt" o:ole="">
            <v:imagedata r:id="rId4" o:title=""/>
          </v:shape>
          <o:OLEObject Type="Embed" ProgID="Equation.3" ShapeID="_x0000_i1030" DrawAspect="Content" ObjectID="_1699985136" r:id="rId5"/>
        </w:object>
      </w:r>
      <w:r w:rsidRPr="00E359F1">
        <w:rPr>
          <w:i/>
          <w:position w:val="-10"/>
        </w:rPr>
        <w:object w:dxaOrig="180" w:dyaOrig="340">
          <v:shape id="_x0000_i1031" type="#_x0000_t75" style="width:9.15pt;height:17.25pt" o:ole="">
            <v:imagedata r:id="rId4" o:title=""/>
          </v:shape>
          <o:OLEObject Type="Embed" ProgID="Equation.3" ShapeID="_x0000_i1031" DrawAspect="Content" ObjectID="_1699985137" r:id="rId6"/>
        </w:object>
      </w:r>
      <w:r w:rsidRPr="00E359F1">
        <w:t xml:space="preserve">Если </w:t>
      </w:r>
      <w:r w:rsidRPr="009D1AF9">
        <w:rPr>
          <w:i/>
        </w:rPr>
        <w:t>Z</w:t>
      </w:r>
      <w:r w:rsidRPr="00E359F1">
        <w:t xml:space="preserve"> &lt; 0,2, то вероятность банкротства высокая, если </w:t>
      </w:r>
      <w:r w:rsidRPr="009D1AF9">
        <w:rPr>
          <w:i/>
        </w:rPr>
        <w:t>Z</w:t>
      </w:r>
      <w:r w:rsidRPr="00E359F1">
        <w:t xml:space="preserve"> &gt;</w:t>
      </w:r>
      <w:r>
        <w:t xml:space="preserve"> </w:t>
      </w:r>
      <w:r w:rsidRPr="00E359F1">
        <w:t>0,3</w:t>
      </w:r>
      <w:r>
        <w:t>,</w:t>
      </w:r>
      <w:r w:rsidRPr="00E359F1">
        <w:t xml:space="preserve"> то вер</w:t>
      </w:r>
      <w:r w:rsidRPr="00E359F1">
        <w:t>о</w:t>
      </w:r>
      <w:r w:rsidRPr="00E359F1">
        <w:t>ятность банкротства низкая.</w:t>
      </w:r>
    </w:p>
    <w:p w:rsidR="00ED7333" w:rsidRDefault="00ED7333" w:rsidP="00ED7333">
      <w:pPr>
        <w:pStyle w:val="2"/>
      </w:pPr>
    </w:p>
    <w:p w:rsidR="00ED7333" w:rsidRPr="009D1AF9" w:rsidRDefault="00ED7333" w:rsidP="00ED7333">
      <w:pPr>
        <w:pStyle w:val="2"/>
        <w:rPr>
          <w:u w:val="single"/>
        </w:rPr>
      </w:pPr>
      <w:r>
        <w:rPr>
          <w:b/>
          <w:u w:val="single"/>
          <w:lang w:val="en-US"/>
        </w:rPr>
        <w:t>IV</w:t>
      </w:r>
      <w:r w:rsidRPr="009D1AF9">
        <w:rPr>
          <w:b/>
          <w:u w:val="single"/>
        </w:rPr>
        <w:t>.</w:t>
      </w:r>
      <w:r w:rsidRPr="009D1AF9">
        <w:rPr>
          <w:u w:val="single"/>
        </w:rPr>
        <w:t xml:space="preserve"> </w:t>
      </w:r>
      <w:proofErr w:type="spellStart"/>
      <w:r w:rsidRPr="009D1AF9">
        <w:rPr>
          <w:u w:val="single"/>
        </w:rPr>
        <w:t>Западно-европейская</w:t>
      </w:r>
      <w:proofErr w:type="spellEnd"/>
      <w:r w:rsidRPr="009D1AF9">
        <w:rPr>
          <w:u w:val="single"/>
        </w:rPr>
        <w:t xml:space="preserve"> система оценки вероятности банкротства, основанна</w:t>
      </w:r>
      <w:r>
        <w:rPr>
          <w:u w:val="single"/>
        </w:rPr>
        <w:t xml:space="preserve">я на расчёте показателей </w:t>
      </w:r>
      <w:proofErr w:type="spellStart"/>
      <w:r>
        <w:rPr>
          <w:u w:val="single"/>
        </w:rPr>
        <w:t>Бивера</w:t>
      </w:r>
      <w:proofErr w:type="spellEnd"/>
    </w:p>
    <w:p w:rsidR="00ED7333" w:rsidRPr="00E359F1" w:rsidRDefault="00ED7333" w:rsidP="00ED7333">
      <w:pPr>
        <w:pStyle w:val="2"/>
        <w:ind w:firstLine="0"/>
        <w:jc w:val="center"/>
      </w:pPr>
      <w:r w:rsidRPr="00C604FD">
        <w:rPr>
          <w:position w:val="-26"/>
        </w:rPr>
        <w:object w:dxaOrig="4959" w:dyaOrig="680">
          <v:shape id="_x0000_i1032" type="#_x0000_t75" style="width:247.95pt;height:33.95pt" o:ole="">
            <v:imagedata r:id="rId7" o:title=""/>
          </v:shape>
          <o:OLEObject Type="Embed" ProgID="Equation.3" ShapeID="_x0000_i1032" DrawAspect="Content" ObjectID="_1699985138" r:id="rId8"/>
        </w:object>
      </w:r>
      <w:r>
        <w:t>;</w:t>
      </w:r>
    </w:p>
    <w:p w:rsidR="00ED7333" w:rsidRDefault="00ED7333" w:rsidP="00ED7333">
      <w:pPr>
        <w:pStyle w:val="2"/>
        <w:ind w:firstLine="0"/>
        <w:jc w:val="center"/>
      </w:pPr>
      <w:r w:rsidRPr="00C604FD">
        <w:rPr>
          <w:position w:val="-30"/>
        </w:rPr>
        <w:object w:dxaOrig="5319" w:dyaOrig="720">
          <v:shape id="_x0000_i1033" type="#_x0000_t75" style="width:266.2pt;height:36pt" o:ole="">
            <v:imagedata r:id="rId9" o:title=""/>
          </v:shape>
          <o:OLEObject Type="Embed" ProgID="Equation.3" ShapeID="_x0000_i1033" DrawAspect="Content" ObjectID="_1699985139" r:id="rId10"/>
        </w:object>
      </w:r>
      <w:r>
        <w:t>;</w:t>
      </w:r>
    </w:p>
    <w:p w:rsidR="00ED7333" w:rsidRPr="00E359F1" w:rsidRDefault="00ED7333" w:rsidP="00ED7333">
      <w:pPr>
        <w:pStyle w:val="2"/>
        <w:ind w:firstLine="0"/>
        <w:jc w:val="center"/>
      </w:pPr>
      <w:r w:rsidRPr="00C604FD">
        <w:rPr>
          <w:position w:val="-30"/>
        </w:rPr>
        <w:object w:dxaOrig="6660" w:dyaOrig="720">
          <v:shape id="_x0000_i1034" type="#_x0000_t75" style="width:333.15pt;height:36pt" o:ole="">
            <v:imagedata r:id="rId11" o:title=""/>
          </v:shape>
          <o:OLEObject Type="Embed" ProgID="Equation.3" ShapeID="_x0000_i1034" DrawAspect="Content" ObjectID="_1699985140" r:id="rId12"/>
        </w:object>
      </w:r>
      <w:r>
        <w:t>;</w:t>
      </w:r>
    </w:p>
    <w:p w:rsidR="00ED7333" w:rsidRPr="00E359F1" w:rsidRDefault="00ED7333" w:rsidP="00ED7333">
      <w:pPr>
        <w:pStyle w:val="2"/>
        <w:ind w:firstLine="0"/>
        <w:jc w:val="center"/>
      </w:pPr>
      <w:r w:rsidRPr="004C3922">
        <w:rPr>
          <w:position w:val="-32"/>
        </w:rPr>
        <w:object w:dxaOrig="6820" w:dyaOrig="740">
          <v:shape id="_x0000_i1035" type="#_x0000_t75" style="width:341.25pt;height:37pt" o:ole="">
            <v:imagedata r:id="rId13" o:title=""/>
          </v:shape>
          <o:OLEObject Type="Embed" ProgID="Equation.3" ShapeID="_x0000_i1035" DrawAspect="Content" ObjectID="_1699985141" r:id="rId14"/>
        </w:object>
      </w:r>
      <w:r>
        <w:t>.</w:t>
      </w:r>
    </w:p>
    <w:p w:rsidR="00ED7333" w:rsidRPr="00E359F1" w:rsidRDefault="00ED7333" w:rsidP="00ED7333">
      <w:pPr>
        <w:pStyle w:val="2"/>
        <w:spacing w:after="120"/>
      </w:pPr>
      <w:r w:rsidRPr="00E359F1">
        <w:t>Вероятность банкротства определяется по следующим значениям: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0"/>
        <w:gridCol w:w="1919"/>
        <w:gridCol w:w="1651"/>
        <w:gridCol w:w="1651"/>
      </w:tblGrid>
      <w:tr w:rsidR="00ED7333" w:rsidRPr="009D1AF9" w:rsidTr="00215232">
        <w:tc>
          <w:tcPr>
            <w:tcW w:w="4364" w:type="dxa"/>
            <w:vAlign w:val="center"/>
          </w:tcPr>
          <w:p w:rsidR="00ED7333" w:rsidRPr="009D1AF9" w:rsidRDefault="00ED7333" w:rsidP="00215232">
            <w:pPr>
              <w:pStyle w:val="2"/>
              <w:jc w:val="left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Показатели</w:t>
            </w:r>
          </w:p>
        </w:tc>
        <w:tc>
          <w:tcPr>
            <w:tcW w:w="1849" w:type="dxa"/>
            <w:vAlign w:val="center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Группа 1:</w:t>
            </w:r>
          </w:p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lastRenderedPageBreak/>
              <w:t>благополучные</w:t>
            </w:r>
          </w:p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компании</w:t>
            </w:r>
          </w:p>
        </w:tc>
        <w:tc>
          <w:tcPr>
            <w:tcW w:w="1652" w:type="dxa"/>
            <w:vAlign w:val="center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lastRenderedPageBreak/>
              <w:t>Группа 2:</w:t>
            </w:r>
          </w:p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lastRenderedPageBreak/>
              <w:t>за 5 лет до банкро</w:t>
            </w:r>
            <w:r w:rsidRPr="009D1AF9">
              <w:rPr>
                <w:sz w:val="26"/>
                <w:szCs w:val="26"/>
              </w:rPr>
              <w:t>т</w:t>
            </w:r>
            <w:r w:rsidRPr="009D1AF9">
              <w:rPr>
                <w:sz w:val="26"/>
                <w:szCs w:val="26"/>
              </w:rPr>
              <w:t>ства</w:t>
            </w:r>
          </w:p>
        </w:tc>
        <w:tc>
          <w:tcPr>
            <w:tcW w:w="1652" w:type="dxa"/>
            <w:vAlign w:val="center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lastRenderedPageBreak/>
              <w:t>Группа 1:</w:t>
            </w:r>
          </w:p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lastRenderedPageBreak/>
              <w:t>за 1 год до банкро</w:t>
            </w:r>
            <w:r w:rsidRPr="009D1AF9">
              <w:rPr>
                <w:sz w:val="26"/>
                <w:szCs w:val="26"/>
              </w:rPr>
              <w:t>т</w:t>
            </w:r>
            <w:r w:rsidRPr="009D1AF9">
              <w:rPr>
                <w:sz w:val="26"/>
                <w:szCs w:val="26"/>
              </w:rPr>
              <w:t>ства</w:t>
            </w:r>
          </w:p>
        </w:tc>
      </w:tr>
      <w:tr w:rsidR="00ED7333" w:rsidRPr="009D1AF9" w:rsidTr="00215232">
        <w:tc>
          <w:tcPr>
            <w:tcW w:w="4364" w:type="dxa"/>
          </w:tcPr>
          <w:p w:rsidR="00ED7333" w:rsidRPr="009D1AF9" w:rsidRDefault="00ED7333" w:rsidP="00215232">
            <w:pPr>
              <w:pStyle w:val="2"/>
              <w:ind w:left="574" w:firstLine="0"/>
              <w:jc w:val="left"/>
              <w:rPr>
                <w:sz w:val="26"/>
                <w:szCs w:val="26"/>
              </w:rPr>
            </w:pPr>
            <w:r w:rsidRPr="009D1AF9">
              <w:rPr>
                <w:i/>
                <w:sz w:val="26"/>
                <w:szCs w:val="26"/>
              </w:rPr>
              <w:lastRenderedPageBreak/>
              <w:t>К</w:t>
            </w:r>
            <w:r w:rsidRPr="009D1AF9">
              <w:rPr>
                <w:sz w:val="26"/>
                <w:szCs w:val="26"/>
              </w:rPr>
              <w:t xml:space="preserve"> </w:t>
            </w:r>
            <w:proofErr w:type="spellStart"/>
            <w:r w:rsidRPr="009D1AF9">
              <w:rPr>
                <w:sz w:val="26"/>
                <w:szCs w:val="26"/>
              </w:rPr>
              <w:t>Бивера</w:t>
            </w:r>
            <w:proofErr w:type="spellEnd"/>
          </w:p>
        </w:tc>
        <w:tc>
          <w:tcPr>
            <w:tcW w:w="1849" w:type="dxa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0,4-0,45</w:t>
            </w:r>
          </w:p>
        </w:tc>
        <w:tc>
          <w:tcPr>
            <w:tcW w:w="1652" w:type="dxa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0,17</w:t>
            </w:r>
          </w:p>
        </w:tc>
        <w:tc>
          <w:tcPr>
            <w:tcW w:w="1652" w:type="dxa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&lt;</w:t>
            </w:r>
            <w:r>
              <w:rPr>
                <w:sz w:val="26"/>
                <w:szCs w:val="26"/>
              </w:rPr>
              <w:t xml:space="preserve"> </w:t>
            </w:r>
            <w:r w:rsidRPr="009D1AF9">
              <w:rPr>
                <w:sz w:val="26"/>
                <w:szCs w:val="26"/>
              </w:rPr>
              <w:t>0</w:t>
            </w:r>
          </w:p>
        </w:tc>
      </w:tr>
      <w:tr w:rsidR="00ED7333" w:rsidRPr="009D1AF9" w:rsidTr="00215232">
        <w:tc>
          <w:tcPr>
            <w:tcW w:w="4364" w:type="dxa"/>
          </w:tcPr>
          <w:p w:rsidR="00ED7333" w:rsidRPr="009D1AF9" w:rsidRDefault="00ED7333" w:rsidP="00215232">
            <w:pPr>
              <w:pStyle w:val="2"/>
              <w:ind w:left="574" w:firstLine="0"/>
              <w:jc w:val="left"/>
              <w:rPr>
                <w:sz w:val="26"/>
                <w:szCs w:val="26"/>
              </w:rPr>
            </w:pPr>
            <w:proofErr w:type="gramStart"/>
            <w:r w:rsidRPr="009D1AF9">
              <w:rPr>
                <w:i/>
                <w:sz w:val="26"/>
                <w:szCs w:val="26"/>
              </w:rPr>
              <w:t>К</w:t>
            </w:r>
            <w:proofErr w:type="gramEnd"/>
            <w:r w:rsidRPr="009D1AF9">
              <w:rPr>
                <w:sz w:val="26"/>
                <w:szCs w:val="26"/>
              </w:rPr>
              <w:t xml:space="preserve"> покрытия</w:t>
            </w:r>
          </w:p>
        </w:tc>
        <w:tc>
          <w:tcPr>
            <w:tcW w:w="1849" w:type="dxa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2-3</w:t>
            </w:r>
          </w:p>
        </w:tc>
        <w:tc>
          <w:tcPr>
            <w:tcW w:w="1652" w:type="dxa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1-2</w:t>
            </w:r>
          </w:p>
        </w:tc>
        <w:tc>
          <w:tcPr>
            <w:tcW w:w="1652" w:type="dxa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&lt;</w:t>
            </w:r>
            <w:r>
              <w:rPr>
                <w:sz w:val="26"/>
                <w:szCs w:val="26"/>
              </w:rPr>
              <w:t xml:space="preserve"> </w:t>
            </w:r>
            <w:r w:rsidRPr="009D1AF9">
              <w:rPr>
                <w:sz w:val="26"/>
                <w:szCs w:val="26"/>
              </w:rPr>
              <w:t>1</w:t>
            </w:r>
          </w:p>
        </w:tc>
      </w:tr>
      <w:tr w:rsidR="00ED7333" w:rsidRPr="009D1AF9" w:rsidTr="00215232">
        <w:tc>
          <w:tcPr>
            <w:tcW w:w="4364" w:type="dxa"/>
          </w:tcPr>
          <w:p w:rsidR="00ED7333" w:rsidRPr="009D1AF9" w:rsidRDefault="00ED7333" w:rsidP="00215232">
            <w:pPr>
              <w:pStyle w:val="2"/>
              <w:ind w:left="574" w:firstLine="0"/>
              <w:jc w:val="left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Экономическая рентабел</w:t>
            </w:r>
            <w:r w:rsidRPr="009D1AF9">
              <w:rPr>
                <w:sz w:val="26"/>
                <w:szCs w:val="26"/>
              </w:rPr>
              <w:t>ь</w:t>
            </w:r>
            <w:r w:rsidRPr="009D1AF9">
              <w:rPr>
                <w:sz w:val="26"/>
                <w:szCs w:val="26"/>
              </w:rPr>
              <w:t>ность</w:t>
            </w:r>
          </w:p>
        </w:tc>
        <w:tc>
          <w:tcPr>
            <w:tcW w:w="1849" w:type="dxa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≈</w:t>
            </w:r>
            <w:r>
              <w:rPr>
                <w:sz w:val="26"/>
                <w:szCs w:val="26"/>
              </w:rPr>
              <w:t xml:space="preserve"> </w:t>
            </w:r>
            <w:r w:rsidRPr="009D1AF9">
              <w:rPr>
                <w:sz w:val="26"/>
                <w:szCs w:val="26"/>
              </w:rPr>
              <w:t>10%</w:t>
            </w:r>
          </w:p>
        </w:tc>
        <w:tc>
          <w:tcPr>
            <w:tcW w:w="1652" w:type="dxa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≈</w:t>
            </w:r>
            <w:r>
              <w:rPr>
                <w:sz w:val="26"/>
                <w:szCs w:val="26"/>
              </w:rPr>
              <w:t xml:space="preserve"> </w:t>
            </w:r>
            <w:r w:rsidRPr="009D1AF9">
              <w:rPr>
                <w:sz w:val="26"/>
                <w:szCs w:val="26"/>
              </w:rPr>
              <w:t>5%</w:t>
            </w:r>
          </w:p>
        </w:tc>
        <w:tc>
          <w:tcPr>
            <w:tcW w:w="1652" w:type="dxa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&lt;</w:t>
            </w:r>
            <w:r>
              <w:rPr>
                <w:sz w:val="26"/>
                <w:szCs w:val="26"/>
              </w:rPr>
              <w:t xml:space="preserve"> </w:t>
            </w:r>
            <w:r w:rsidRPr="009D1AF9">
              <w:rPr>
                <w:sz w:val="26"/>
                <w:szCs w:val="26"/>
              </w:rPr>
              <w:t>0</w:t>
            </w:r>
          </w:p>
        </w:tc>
      </w:tr>
      <w:tr w:rsidR="00ED7333" w:rsidRPr="009D1AF9" w:rsidTr="00215232">
        <w:tc>
          <w:tcPr>
            <w:tcW w:w="4364" w:type="dxa"/>
          </w:tcPr>
          <w:p w:rsidR="00ED7333" w:rsidRPr="009D1AF9" w:rsidRDefault="00ED7333" w:rsidP="00215232">
            <w:pPr>
              <w:pStyle w:val="2"/>
              <w:ind w:left="574" w:firstLine="0"/>
              <w:jc w:val="left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 xml:space="preserve">Финансовый </w:t>
            </w:r>
            <w:proofErr w:type="spellStart"/>
            <w:r w:rsidRPr="009D1AF9">
              <w:rPr>
                <w:sz w:val="26"/>
                <w:szCs w:val="26"/>
              </w:rPr>
              <w:t>лив</w:t>
            </w:r>
            <w:r w:rsidRPr="009D1AF9">
              <w:rPr>
                <w:sz w:val="26"/>
                <w:szCs w:val="26"/>
              </w:rPr>
              <w:t>е</w:t>
            </w:r>
            <w:r w:rsidRPr="009D1AF9">
              <w:rPr>
                <w:sz w:val="26"/>
                <w:szCs w:val="26"/>
              </w:rPr>
              <w:t>ридж</w:t>
            </w:r>
            <w:proofErr w:type="spellEnd"/>
          </w:p>
        </w:tc>
        <w:tc>
          <w:tcPr>
            <w:tcW w:w="1849" w:type="dxa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≈</w:t>
            </w:r>
            <w:r>
              <w:rPr>
                <w:sz w:val="26"/>
                <w:szCs w:val="26"/>
              </w:rPr>
              <w:t xml:space="preserve"> </w:t>
            </w:r>
            <w:r w:rsidRPr="009D1AF9">
              <w:rPr>
                <w:sz w:val="26"/>
                <w:szCs w:val="26"/>
              </w:rPr>
              <w:t>35%</w:t>
            </w:r>
          </w:p>
        </w:tc>
        <w:tc>
          <w:tcPr>
            <w:tcW w:w="1652" w:type="dxa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≤</w:t>
            </w:r>
            <w:r>
              <w:rPr>
                <w:sz w:val="26"/>
                <w:szCs w:val="26"/>
              </w:rPr>
              <w:t xml:space="preserve"> </w:t>
            </w:r>
            <w:r w:rsidRPr="009D1AF9">
              <w:rPr>
                <w:sz w:val="26"/>
                <w:szCs w:val="26"/>
              </w:rPr>
              <w:t>50%</w:t>
            </w:r>
          </w:p>
        </w:tc>
        <w:tc>
          <w:tcPr>
            <w:tcW w:w="1652" w:type="dxa"/>
          </w:tcPr>
          <w:p w:rsidR="00ED7333" w:rsidRPr="009D1AF9" w:rsidRDefault="00ED7333" w:rsidP="00215232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9D1AF9">
              <w:rPr>
                <w:sz w:val="26"/>
                <w:szCs w:val="26"/>
              </w:rPr>
              <w:t>≤</w:t>
            </w:r>
            <w:r>
              <w:rPr>
                <w:sz w:val="26"/>
                <w:szCs w:val="26"/>
              </w:rPr>
              <w:t xml:space="preserve"> </w:t>
            </w:r>
            <w:r w:rsidRPr="009D1AF9">
              <w:rPr>
                <w:sz w:val="26"/>
                <w:szCs w:val="26"/>
              </w:rPr>
              <w:t>80%</w:t>
            </w:r>
          </w:p>
        </w:tc>
      </w:tr>
    </w:tbl>
    <w:p w:rsidR="00ED7333" w:rsidRDefault="00ED7333" w:rsidP="00ED7333"/>
    <w:p w:rsidR="00E27DC5" w:rsidRDefault="00E27DC5"/>
    <w:sectPr w:rsidR="00E2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ED7333"/>
    <w:rsid w:val="00E27DC5"/>
    <w:rsid w:val="00ED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т"/>
    <w:basedOn w:val="a"/>
    <w:link w:val="20"/>
    <w:rsid w:val="00ED7333"/>
    <w:pPr>
      <w:ind w:firstLine="567"/>
      <w:jc w:val="both"/>
    </w:pPr>
    <w:rPr>
      <w:sz w:val="30"/>
      <w:szCs w:val="30"/>
    </w:rPr>
  </w:style>
  <w:style w:type="character" w:customStyle="1" w:styleId="20">
    <w:name w:val="2т Знак"/>
    <w:basedOn w:val="a0"/>
    <w:link w:val="2"/>
    <w:rsid w:val="00ED7333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Koroleva</cp:lastModifiedBy>
  <cp:revision>1</cp:revision>
  <dcterms:created xsi:type="dcterms:W3CDTF">2021-12-02T18:18:00Z</dcterms:created>
  <dcterms:modified xsi:type="dcterms:W3CDTF">2021-12-02T18:18:00Z</dcterms:modified>
</cp:coreProperties>
</file>