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657" w:rsidRPr="00C11DA0" w:rsidRDefault="00081657" w:rsidP="00081657">
      <w:pPr>
        <w:pStyle w:val="2"/>
      </w:pPr>
      <w:bookmarkStart w:id="0" w:name="_GoBack"/>
      <w:r>
        <w:rPr>
          <w:rStyle w:val="a4"/>
          <w:sz w:val="28"/>
          <w:szCs w:val="28"/>
        </w:rPr>
        <w:t xml:space="preserve">2.1. </w:t>
      </w:r>
      <w:r w:rsidRPr="00C11DA0">
        <w:rPr>
          <w:caps w:val="0"/>
        </w:rPr>
        <w:t>Общие положения организации бухгалтерского учета</w:t>
      </w:r>
      <w:r>
        <w:rPr>
          <w:caps w:val="0"/>
        </w:rPr>
        <w:t xml:space="preserve"> на малых предприятиях </w:t>
      </w:r>
    </w:p>
    <w:bookmarkEnd w:id="0"/>
    <w:p w:rsidR="00081657" w:rsidRDefault="00081657" w:rsidP="00081657">
      <w:pPr>
        <w:rPr>
          <w:rStyle w:val="a4"/>
          <w:sz w:val="28"/>
          <w:szCs w:val="28"/>
        </w:rPr>
      </w:pPr>
    </w:p>
    <w:p w:rsidR="00081657" w:rsidRPr="00081657" w:rsidRDefault="00081657" w:rsidP="00081657">
      <w:pPr>
        <w:rPr>
          <w:szCs w:val="28"/>
        </w:rPr>
      </w:pPr>
      <w:r w:rsidRPr="00081657">
        <w:rPr>
          <w:rStyle w:val="a4"/>
          <w:sz w:val="28"/>
          <w:szCs w:val="28"/>
        </w:rPr>
        <w:t>Малые предприятия ведут бухгалтерский учет в соответствии с едиными методологическими основами и правилами, установленными Федеральным законом «О бухгалтерском учете», Положением по ведению  бухгалтерского учета и бухгалтерской отчетности в Российской Федерации, стандартами бухгалтерского учета, Планом счетов бухгалтерского учета финансово-хозяйственной деятельности организаций, а также на основании «Типовых рекомендаций по организации бухгалтерского учета для субъектов малого предпринимательства» (в дальнейшем — Типовые рекомендации).</w:t>
      </w:r>
      <w:r w:rsidRPr="00081657">
        <w:rPr>
          <w:szCs w:val="28"/>
        </w:rPr>
        <w:t xml:space="preserve"> Малое предприятие имеет право выбора одной из систем бухгалтерского учета: </w:t>
      </w:r>
    </w:p>
    <w:p w:rsidR="00081657" w:rsidRPr="00081657" w:rsidRDefault="00081657" w:rsidP="00081657">
      <w:pPr>
        <w:numPr>
          <w:ilvl w:val="0"/>
          <w:numId w:val="1"/>
        </w:numPr>
        <w:rPr>
          <w:szCs w:val="28"/>
        </w:rPr>
      </w:pPr>
      <w:r w:rsidRPr="00081657">
        <w:rPr>
          <w:szCs w:val="28"/>
        </w:rPr>
        <w:t xml:space="preserve">традиционная; </w:t>
      </w:r>
    </w:p>
    <w:p w:rsidR="00081657" w:rsidRPr="00081657" w:rsidRDefault="00081657" w:rsidP="00081657">
      <w:pPr>
        <w:numPr>
          <w:ilvl w:val="0"/>
          <w:numId w:val="1"/>
        </w:numPr>
        <w:rPr>
          <w:szCs w:val="28"/>
        </w:rPr>
      </w:pPr>
      <w:r w:rsidRPr="00081657">
        <w:rPr>
          <w:szCs w:val="28"/>
        </w:rPr>
        <w:t xml:space="preserve">простая форма; </w:t>
      </w:r>
    </w:p>
    <w:p w:rsidR="00081657" w:rsidRPr="00081657" w:rsidRDefault="00081657" w:rsidP="00081657">
      <w:pPr>
        <w:numPr>
          <w:ilvl w:val="0"/>
          <w:numId w:val="1"/>
        </w:numPr>
        <w:rPr>
          <w:szCs w:val="28"/>
        </w:rPr>
      </w:pPr>
      <w:r w:rsidRPr="00081657">
        <w:rPr>
          <w:szCs w:val="28"/>
        </w:rPr>
        <w:t>форма бухгалтерского учета с использованием регистров бухгалтерского учета имущества.</w:t>
      </w:r>
    </w:p>
    <w:p w:rsidR="00081657" w:rsidRPr="00081657" w:rsidRDefault="00081657" w:rsidP="00081657">
      <w:pPr>
        <w:rPr>
          <w:szCs w:val="28"/>
        </w:rPr>
      </w:pPr>
      <w:r w:rsidRPr="00081657">
        <w:rPr>
          <w:szCs w:val="28"/>
        </w:rPr>
        <w:t xml:space="preserve">Под традиционной системой следует понимать план счетов и формы бухгалтерского учета, которые имеют право вести все организации, в том числе и малые предприятия, за исключением кредитных организаций и других организационно-правовых форм, обязанных вести учет в особом порядке. К традиционным формам относятся: журнально-ордерная форма; мемориально-ордерная; компьютеризированная, основанная на традиционных формах бухгалтерского учета. Простая форма и форма бухгалтерского учета с использованием регистров бухгалтерского учета имущества рекомендуется для малых предприятий. Типовые рекомендации разработаны в соответствии с Федеральным законом «О развитии малого и среднего предпринимательства в Российской Федерации» и предназначены для всех субъектов малого предпринимательства, являющихся юридическими лицами по законодательству Российской Федерации, независимо от предмета и целей деятельности, организационно-правовых форм и форм собственности (за исключением кредитных организаций). </w:t>
      </w:r>
    </w:p>
    <w:p w:rsidR="00081657" w:rsidRPr="00081657" w:rsidRDefault="00081657" w:rsidP="00081657">
      <w:pPr>
        <w:rPr>
          <w:szCs w:val="28"/>
        </w:rPr>
      </w:pPr>
      <w:r w:rsidRPr="00081657">
        <w:rPr>
          <w:szCs w:val="28"/>
        </w:rPr>
        <w:t>В соответствии с Федеральным законом «О бухгалтерском учете» ответственность за организацию бухгалтерского учета на малых предприятиях, соблюдение законодательства при выполнении хозяйственных операций несут руководители малых предприятий. Руководитель малого предприятия может в зависимости от объема учетной работы:</w:t>
      </w:r>
    </w:p>
    <w:p w:rsidR="00081657" w:rsidRPr="00081657" w:rsidRDefault="00081657" w:rsidP="00081657">
      <w:pPr>
        <w:numPr>
          <w:ilvl w:val="0"/>
          <w:numId w:val="2"/>
        </w:numPr>
        <w:ind w:left="0" w:firstLine="567"/>
        <w:rPr>
          <w:szCs w:val="28"/>
        </w:rPr>
      </w:pPr>
      <w:r w:rsidRPr="00081657">
        <w:rPr>
          <w:szCs w:val="28"/>
        </w:rPr>
        <w:t>создать бухгалтерскую службу как структурное подразделение, возглавляемое главным бухгалтером;</w:t>
      </w:r>
    </w:p>
    <w:p w:rsidR="00081657" w:rsidRPr="00081657" w:rsidRDefault="00081657" w:rsidP="00081657">
      <w:pPr>
        <w:numPr>
          <w:ilvl w:val="0"/>
          <w:numId w:val="2"/>
        </w:numPr>
        <w:ind w:left="0" w:firstLine="567"/>
        <w:rPr>
          <w:szCs w:val="28"/>
        </w:rPr>
      </w:pPr>
      <w:r w:rsidRPr="00081657">
        <w:rPr>
          <w:szCs w:val="28"/>
        </w:rPr>
        <w:t>ввести в штат должность бухгалтера;</w:t>
      </w:r>
    </w:p>
    <w:p w:rsidR="00081657" w:rsidRPr="00081657" w:rsidRDefault="00081657" w:rsidP="00081657">
      <w:pPr>
        <w:numPr>
          <w:ilvl w:val="0"/>
          <w:numId w:val="2"/>
        </w:numPr>
        <w:ind w:left="0" w:firstLine="567"/>
        <w:rPr>
          <w:szCs w:val="28"/>
        </w:rPr>
      </w:pPr>
      <w:r w:rsidRPr="00081657">
        <w:rPr>
          <w:szCs w:val="28"/>
        </w:rPr>
        <w:t>передать на договорных началах ведение бухгалтерского учета специализированной организации (централизованной бухгалтерии) или бухгалтеру-специалисту;</w:t>
      </w:r>
    </w:p>
    <w:p w:rsidR="00081657" w:rsidRPr="00081657" w:rsidRDefault="00081657" w:rsidP="00081657">
      <w:pPr>
        <w:numPr>
          <w:ilvl w:val="0"/>
          <w:numId w:val="2"/>
        </w:numPr>
        <w:ind w:left="0" w:firstLine="567"/>
        <w:rPr>
          <w:szCs w:val="28"/>
        </w:rPr>
      </w:pPr>
      <w:r w:rsidRPr="00081657">
        <w:rPr>
          <w:szCs w:val="28"/>
        </w:rPr>
        <w:t>вести бухгалтерский учет лично.</w:t>
      </w:r>
    </w:p>
    <w:p w:rsidR="00081657" w:rsidRPr="00081657" w:rsidRDefault="00081657" w:rsidP="00081657">
      <w:pPr>
        <w:rPr>
          <w:szCs w:val="28"/>
        </w:rPr>
      </w:pPr>
      <w:r w:rsidRPr="00081657">
        <w:rPr>
          <w:szCs w:val="28"/>
        </w:rPr>
        <w:lastRenderedPageBreak/>
        <w:t>Принятая малым предприятием учетная политика утверждается приказом или распоряжением лица, ответственного за организацию и состояние бухгалтерского учета. При этом утверждаются:</w:t>
      </w:r>
    </w:p>
    <w:p w:rsidR="00081657" w:rsidRPr="00081657" w:rsidRDefault="00081657" w:rsidP="00081657">
      <w:pPr>
        <w:numPr>
          <w:ilvl w:val="0"/>
          <w:numId w:val="3"/>
        </w:numPr>
        <w:ind w:left="0" w:firstLine="567"/>
        <w:rPr>
          <w:szCs w:val="28"/>
        </w:rPr>
      </w:pPr>
      <w:r w:rsidRPr="00081657">
        <w:rPr>
          <w:szCs w:val="28"/>
        </w:rPr>
        <w:t>рабочий План счетов бухгалтерского учета, содержащий синтетические и аналитические счета, необходимые для ведения бухгалтерского учета в соответствии с требованиями своевременности и полноты учета и отчетности;</w:t>
      </w:r>
    </w:p>
    <w:p w:rsidR="00081657" w:rsidRPr="00081657" w:rsidRDefault="00081657" w:rsidP="00081657">
      <w:pPr>
        <w:numPr>
          <w:ilvl w:val="0"/>
          <w:numId w:val="3"/>
        </w:numPr>
        <w:ind w:left="0" w:firstLine="567"/>
        <w:rPr>
          <w:szCs w:val="28"/>
        </w:rPr>
      </w:pPr>
      <w:r w:rsidRPr="00081657">
        <w:rPr>
          <w:szCs w:val="28"/>
        </w:rPr>
        <w:t>формы первичных учетных документов, применяемых для оформления хозяйственных операций, по которым не предусмотрены типовые формы первичных учетных документов, а также формы документов для внутренней бухгалтерской отчетности;</w:t>
      </w:r>
    </w:p>
    <w:p w:rsidR="00081657" w:rsidRPr="00081657" w:rsidRDefault="00081657" w:rsidP="00081657">
      <w:pPr>
        <w:numPr>
          <w:ilvl w:val="0"/>
          <w:numId w:val="3"/>
        </w:numPr>
        <w:ind w:left="0" w:firstLine="567"/>
        <w:rPr>
          <w:szCs w:val="28"/>
        </w:rPr>
      </w:pPr>
      <w:r w:rsidRPr="00081657">
        <w:rPr>
          <w:szCs w:val="28"/>
        </w:rPr>
        <w:t>порядок проведения инвентаризации и методы оценки видов имущества и обязательств;</w:t>
      </w:r>
    </w:p>
    <w:p w:rsidR="00081657" w:rsidRPr="00081657" w:rsidRDefault="00081657" w:rsidP="00081657">
      <w:pPr>
        <w:numPr>
          <w:ilvl w:val="0"/>
          <w:numId w:val="3"/>
        </w:numPr>
        <w:ind w:left="0" w:firstLine="567"/>
        <w:rPr>
          <w:szCs w:val="28"/>
        </w:rPr>
      </w:pPr>
      <w:r w:rsidRPr="00081657">
        <w:rPr>
          <w:szCs w:val="28"/>
        </w:rPr>
        <w:t>правила документооборота и технология обработки учетной информации;</w:t>
      </w:r>
    </w:p>
    <w:p w:rsidR="00081657" w:rsidRPr="00081657" w:rsidRDefault="00081657" w:rsidP="00081657">
      <w:pPr>
        <w:numPr>
          <w:ilvl w:val="0"/>
          <w:numId w:val="3"/>
        </w:numPr>
        <w:ind w:left="0" w:firstLine="567"/>
        <w:rPr>
          <w:szCs w:val="28"/>
        </w:rPr>
      </w:pPr>
      <w:r w:rsidRPr="00081657">
        <w:rPr>
          <w:szCs w:val="28"/>
        </w:rPr>
        <w:t>порядок контроля за хозяйственными операциями, а также другие решения, необходимые для организации бухгалтерского учета.</w:t>
      </w:r>
    </w:p>
    <w:p w:rsidR="00081657" w:rsidRPr="00081657" w:rsidRDefault="00081657" w:rsidP="00081657">
      <w:pPr>
        <w:rPr>
          <w:szCs w:val="28"/>
        </w:rPr>
      </w:pPr>
      <w:r w:rsidRPr="00081657">
        <w:rPr>
          <w:szCs w:val="28"/>
        </w:rPr>
        <w:t>Учетная политика должна применяться последовательно из года в год и изменяется при следующих условиях:</w:t>
      </w:r>
    </w:p>
    <w:p w:rsidR="00081657" w:rsidRPr="00081657" w:rsidRDefault="00081657" w:rsidP="00081657">
      <w:pPr>
        <w:numPr>
          <w:ilvl w:val="0"/>
          <w:numId w:val="3"/>
        </w:numPr>
        <w:ind w:left="0" w:firstLine="567"/>
        <w:rPr>
          <w:szCs w:val="28"/>
        </w:rPr>
      </w:pPr>
      <w:r w:rsidRPr="00081657">
        <w:rPr>
          <w:szCs w:val="28"/>
        </w:rPr>
        <w:t>изменении требований, установленных законодательством Российской Федерации о бухгалтерском учете, федеральными и (или) отраслевыми стандартами;</w:t>
      </w:r>
    </w:p>
    <w:p w:rsidR="00081657" w:rsidRPr="00081657" w:rsidRDefault="00081657" w:rsidP="00081657">
      <w:pPr>
        <w:numPr>
          <w:ilvl w:val="0"/>
          <w:numId w:val="3"/>
        </w:numPr>
        <w:ind w:left="0" w:firstLine="567"/>
        <w:rPr>
          <w:szCs w:val="28"/>
        </w:rPr>
      </w:pPr>
      <w:r w:rsidRPr="00081657">
        <w:rPr>
          <w:szCs w:val="28"/>
        </w:rPr>
        <w:t>разработке или выборе нового способа ведения бухгалтерского учета, применение которого приводит к повышению качества информации об объекте бухгалтерского учета;</w:t>
      </w:r>
    </w:p>
    <w:p w:rsidR="00081657" w:rsidRPr="00081657" w:rsidRDefault="00081657" w:rsidP="00081657">
      <w:pPr>
        <w:numPr>
          <w:ilvl w:val="0"/>
          <w:numId w:val="3"/>
        </w:numPr>
        <w:ind w:left="0" w:firstLine="567"/>
        <w:rPr>
          <w:szCs w:val="28"/>
        </w:rPr>
      </w:pPr>
      <w:r w:rsidRPr="00081657">
        <w:rPr>
          <w:szCs w:val="28"/>
        </w:rPr>
        <w:t>существенном изменении условий деятельности экономического субъекта.</w:t>
      </w:r>
    </w:p>
    <w:p w:rsidR="00081657" w:rsidRPr="00081657" w:rsidRDefault="00081657" w:rsidP="00081657">
      <w:pPr>
        <w:rPr>
          <w:szCs w:val="28"/>
        </w:rPr>
      </w:pPr>
      <w:r w:rsidRPr="00081657">
        <w:rPr>
          <w:szCs w:val="28"/>
        </w:rPr>
        <w:t>В целях обеспечения сопоставимости бухгалтерской (финансовой) отчетности за ряд лет изменение учетной политики производится с начала отчетного года, если иное не обусловливается причиной такого изменения. Отражение фактов хозяйственной жизни в системе счетов бухгалтерского учета и регистрах бухгалтерского учета, применяемых малым предприятием, осуществляется посредством двойной записи. Малым предприятиям с простым технологическим процессом производства продукции, выполнения работ, оказания услуг и имеющим незначительное количество хозяйственных операций (как правило, не более ста в месяц) рекомендуется применение упрощенной формы бухгалтерского учета.</w:t>
      </w:r>
    </w:p>
    <w:p w:rsidR="00081657" w:rsidRPr="00081657" w:rsidRDefault="00081657" w:rsidP="00081657">
      <w:pPr>
        <w:rPr>
          <w:szCs w:val="28"/>
        </w:rPr>
      </w:pPr>
      <w:r w:rsidRPr="00081657">
        <w:rPr>
          <w:szCs w:val="28"/>
        </w:rPr>
        <w:t xml:space="preserve">Большинство </w:t>
      </w:r>
      <w:hyperlink r:id="rId5" w:history="1">
        <w:r w:rsidRPr="00081657">
          <w:rPr>
            <w:szCs w:val="28"/>
          </w:rPr>
          <w:t>субъектов малого предпринимательства</w:t>
        </w:r>
      </w:hyperlink>
      <w:r w:rsidRPr="00081657">
        <w:rPr>
          <w:szCs w:val="28"/>
        </w:rPr>
        <w:t xml:space="preserve"> </w:t>
      </w:r>
      <w:hyperlink r:id="rId6" w:history="1">
        <w:r w:rsidRPr="00081657">
          <w:rPr>
            <w:szCs w:val="28"/>
          </w:rPr>
          <w:t>имеют право</w:t>
        </w:r>
      </w:hyperlink>
      <w:r w:rsidRPr="00081657">
        <w:rPr>
          <w:szCs w:val="28"/>
        </w:rPr>
        <w:t xml:space="preserve"> вести упрощенный бухгалтерский учет. В данном случае руководитель организации может сам вести бухгалтерский учет, издав об этом Приказ.  Кроме того, субъекты малого предпринимательства могут использовать сокращенный план счетов. В частности, учитывать все затраты на производство и реализацию на </w:t>
      </w:r>
      <w:hyperlink r:id="rId7" w:history="1">
        <w:r w:rsidRPr="00081657">
          <w:rPr>
            <w:szCs w:val="28"/>
          </w:rPr>
          <w:t>счете 20</w:t>
        </w:r>
      </w:hyperlink>
      <w:r w:rsidRPr="00081657">
        <w:rPr>
          <w:szCs w:val="28"/>
        </w:rPr>
        <w:t xml:space="preserve"> «Основное производство» и не вести других затратных счетов (счет: </w:t>
      </w:r>
      <w:hyperlink r:id="rId8" w:history="1">
        <w:r w:rsidRPr="00081657">
          <w:rPr>
            <w:szCs w:val="28"/>
          </w:rPr>
          <w:t>26</w:t>
        </w:r>
      </w:hyperlink>
      <w:r w:rsidRPr="00081657">
        <w:rPr>
          <w:szCs w:val="28"/>
        </w:rPr>
        <w:t xml:space="preserve"> «Общехозяйственные расходы», </w:t>
      </w:r>
      <w:hyperlink r:id="rId9" w:history="1">
        <w:r w:rsidRPr="00081657">
          <w:rPr>
            <w:szCs w:val="28"/>
          </w:rPr>
          <w:t>44</w:t>
        </w:r>
      </w:hyperlink>
      <w:r w:rsidRPr="00081657">
        <w:rPr>
          <w:szCs w:val="28"/>
        </w:rPr>
        <w:t xml:space="preserve"> «Расходы на продажу» и т.д.). Согласно Информации, представленной Минфином России, основные </w:t>
      </w:r>
      <w:r w:rsidRPr="00081657">
        <w:rPr>
          <w:szCs w:val="28"/>
        </w:rPr>
        <w:lastRenderedPageBreak/>
        <w:t xml:space="preserve">средства возможно учитывать в упрощенном порядке. В этом случае первоначальная стоимость основных средств определяется: </w:t>
      </w:r>
    </w:p>
    <w:p w:rsidR="00081657" w:rsidRPr="00081657" w:rsidRDefault="00081657" w:rsidP="00081657">
      <w:pPr>
        <w:rPr>
          <w:szCs w:val="28"/>
        </w:rPr>
      </w:pPr>
      <w:r w:rsidRPr="00081657">
        <w:rPr>
          <w:szCs w:val="28"/>
        </w:rPr>
        <w:t>при покупке – по цене поставщика и затрат на монтаж;</w:t>
      </w:r>
    </w:p>
    <w:p w:rsidR="00081657" w:rsidRPr="00081657" w:rsidRDefault="00081657" w:rsidP="00081657">
      <w:pPr>
        <w:rPr>
          <w:szCs w:val="28"/>
        </w:rPr>
      </w:pPr>
      <w:r w:rsidRPr="00081657">
        <w:rPr>
          <w:szCs w:val="28"/>
        </w:rPr>
        <w:t xml:space="preserve">при </w:t>
      </w:r>
      <w:hyperlink r:id="rId10" w:history="1">
        <w:r w:rsidRPr="00081657">
          <w:rPr>
            <w:szCs w:val="28"/>
          </w:rPr>
          <w:t>строительстве</w:t>
        </w:r>
      </w:hyperlink>
      <w:r w:rsidRPr="00081657">
        <w:rPr>
          <w:szCs w:val="28"/>
        </w:rPr>
        <w:t xml:space="preserve"> – в сумме, уплачиваемой подрядчику.</w:t>
      </w:r>
    </w:p>
    <w:p w:rsidR="00081657" w:rsidRPr="00081657" w:rsidRDefault="00081657" w:rsidP="00081657">
      <w:pPr>
        <w:rPr>
          <w:szCs w:val="28"/>
        </w:rPr>
      </w:pPr>
      <w:r w:rsidRPr="00081657">
        <w:rPr>
          <w:szCs w:val="28"/>
        </w:rPr>
        <w:t xml:space="preserve">Все остальные затраты, связанные с приобретением основных средств, возможно включить в состав </w:t>
      </w:r>
      <w:hyperlink r:id="rId11" w:history="1">
        <w:r w:rsidRPr="00081657">
          <w:rPr>
            <w:szCs w:val="28"/>
          </w:rPr>
          <w:t>расходов по обычным видам деятельности</w:t>
        </w:r>
      </w:hyperlink>
      <w:r w:rsidRPr="00081657">
        <w:rPr>
          <w:szCs w:val="28"/>
        </w:rPr>
        <w:t xml:space="preserve"> в том периоде, когда они были понесены.</w:t>
      </w:r>
    </w:p>
    <w:p w:rsidR="00081657" w:rsidRPr="00081657" w:rsidRDefault="00081657" w:rsidP="00081657">
      <w:pPr>
        <w:rPr>
          <w:szCs w:val="28"/>
        </w:rPr>
      </w:pPr>
      <w:hyperlink r:id="rId12" w:history="1">
        <w:r w:rsidRPr="00081657">
          <w:rPr>
            <w:szCs w:val="28"/>
          </w:rPr>
          <w:t>Амортизацию</w:t>
        </w:r>
      </w:hyperlink>
      <w:r w:rsidRPr="00081657">
        <w:rPr>
          <w:szCs w:val="28"/>
        </w:rPr>
        <w:t xml:space="preserve"> по любым основным средствам можно начислять единовременно – один раз в год 31 декабря, либо периодически, например, раз в полгода, либо раз в квартал. Амортизацию по производственному и хозяйственному инвентарю – единовременно в полной сумме при принятии этих объектов к учету. </w:t>
      </w:r>
    </w:p>
    <w:p w:rsidR="00081657" w:rsidRPr="00081657" w:rsidRDefault="00081657" w:rsidP="00081657">
      <w:pPr>
        <w:rPr>
          <w:szCs w:val="28"/>
        </w:rPr>
      </w:pPr>
      <w:r w:rsidRPr="00081657">
        <w:rPr>
          <w:szCs w:val="28"/>
        </w:rPr>
        <w:t xml:space="preserve">В упрощенном порядке могут учитываться материально – производственные запасы. В этом случае приобретенные материально –производственные запасы можно принимать к бухгалтерскому учету по цене поставщика, а все остальные расходы, связанные с их приобретением (в том числе </w:t>
      </w:r>
      <w:proofErr w:type="spellStart"/>
      <w:r w:rsidRPr="00081657">
        <w:rPr>
          <w:szCs w:val="28"/>
        </w:rPr>
        <w:t>транспортно</w:t>
      </w:r>
      <w:proofErr w:type="spellEnd"/>
      <w:r w:rsidRPr="00081657">
        <w:rPr>
          <w:szCs w:val="28"/>
        </w:rPr>
        <w:t xml:space="preserve"> – заготовительные расходы), включать в расходы по обычным видам деятельности в том периоде, когда они были понесены. Материально – производственные запасы можно списывать в расходы по обычным видам деятельности в момент покупки в следующих случаях:</w:t>
      </w:r>
    </w:p>
    <w:p w:rsidR="00081657" w:rsidRPr="00081657" w:rsidRDefault="00081657" w:rsidP="00081657">
      <w:pPr>
        <w:rPr>
          <w:szCs w:val="28"/>
        </w:rPr>
      </w:pPr>
      <w:r w:rsidRPr="00081657">
        <w:rPr>
          <w:szCs w:val="28"/>
        </w:rPr>
        <w:t>если материально – производственные запасы предназначены для управленческих нужд (например, канцтовары);</w:t>
      </w:r>
    </w:p>
    <w:p w:rsidR="00081657" w:rsidRPr="00081657" w:rsidRDefault="00081657" w:rsidP="00081657">
      <w:pPr>
        <w:rPr>
          <w:szCs w:val="28"/>
        </w:rPr>
      </w:pPr>
      <w:r w:rsidRPr="00081657">
        <w:rPr>
          <w:szCs w:val="28"/>
        </w:rPr>
        <w:t xml:space="preserve">если организация является </w:t>
      </w:r>
      <w:proofErr w:type="spellStart"/>
      <w:r w:rsidRPr="00081657">
        <w:rPr>
          <w:szCs w:val="28"/>
        </w:rPr>
        <w:t>микропредприятием</w:t>
      </w:r>
      <w:proofErr w:type="spellEnd"/>
      <w:r w:rsidRPr="00081657">
        <w:rPr>
          <w:szCs w:val="28"/>
        </w:rPr>
        <w:t>;</w:t>
      </w:r>
    </w:p>
    <w:p w:rsidR="00081657" w:rsidRPr="00081657" w:rsidRDefault="00081657" w:rsidP="00081657">
      <w:pPr>
        <w:rPr>
          <w:szCs w:val="28"/>
        </w:rPr>
      </w:pPr>
      <w:r w:rsidRPr="00081657">
        <w:rPr>
          <w:szCs w:val="28"/>
        </w:rPr>
        <w:t>если остатки материально – производственных запасов несущественны.</w:t>
      </w:r>
    </w:p>
    <w:p w:rsidR="00081657" w:rsidRPr="00081657" w:rsidRDefault="00081657" w:rsidP="00081657">
      <w:pPr>
        <w:rPr>
          <w:szCs w:val="28"/>
        </w:rPr>
      </w:pPr>
      <w:r w:rsidRPr="00081657">
        <w:rPr>
          <w:szCs w:val="28"/>
        </w:rPr>
        <w:t xml:space="preserve">Можно не создавать резерв под снижение стоимости материальных ценностей. </w:t>
      </w:r>
    </w:p>
    <w:p w:rsidR="00081657" w:rsidRPr="00081657" w:rsidRDefault="00081657" w:rsidP="00081657">
      <w:pPr>
        <w:rPr>
          <w:szCs w:val="28"/>
        </w:rPr>
      </w:pPr>
      <w:r w:rsidRPr="00081657">
        <w:rPr>
          <w:szCs w:val="28"/>
        </w:rPr>
        <w:t>Затраты, которые нужно учитывать, как нематериальные активы</w:t>
      </w:r>
      <w:r w:rsidRPr="00081657">
        <w:rPr>
          <w:i/>
          <w:szCs w:val="28"/>
        </w:rPr>
        <w:t>,</w:t>
      </w:r>
      <w:r w:rsidRPr="00081657">
        <w:rPr>
          <w:szCs w:val="28"/>
        </w:rPr>
        <w:t xml:space="preserve"> например, затраты на сайт или программы, на которые есть исключительное право</w:t>
      </w:r>
      <w:r w:rsidRPr="00081657">
        <w:rPr>
          <w:i/>
          <w:szCs w:val="28"/>
        </w:rPr>
        <w:t>,</w:t>
      </w:r>
      <w:r w:rsidRPr="00081657">
        <w:rPr>
          <w:szCs w:val="28"/>
        </w:rPr>
        <w:t xml:space="preserve"> можно сразу списывать в расходы по обычным видам деятельности.  Организация, применяющая упрощенные способы, может не отражать оценочные обязательства, условные обязательства и условные активы в бухгалтерском учете, в том числе не создавать резервы предстоящих расходов (на предстоящую оплату отпусков работникам, выплату вознаграждений по итогам работы за год, гарантийный ремонт и гарантийное обслуживание, др.). Проценты по любым займам, в том числе полученным для покупки </w:t>
      </w:r>
      <w:proofErr w:type="spellStart"/>
      <w:r w:rsidRPr="00081657">
        <w:rPr>
          <w:szCs w:val="28"/>
        </w:rPr>
        <w:t>инвестактивов</w:t>
      </w:r>
      <w:proofErr w:type="spellEnd"/>
      <w:r w:rsidRPr="00081657">
        <w:rPr>
          <w:szCs w:val="28"/>
        </w:rPr>
        <w:t xml:space="preserve">, можно учитывать, как прочие расходы.  </w:t>
      </w:r>
    </w:p>
    <w:p w:rsidR="00081657" w:rsidRPr="00081657" w:rsidRDefault="00081657" w:rsidP="00081657">
      <w:pPr>
        <w:rPr>
          <w:szCs w:val="28"/>
        </w:rPr>
      </w:pPr>
    </w:p>
    <w:p w:rsidR="00563EF0" w:rsidRPr="00081657" w:rsidRDefault="00081657">
      <w:pPr>
        <w:rPr>
          <w:szCs w:val="28"/>
        </w:rPr>
      </w:pPr>
    </w:p>
    <w:sectPr w:rsidR="00563EF0" w:rsidRPr="000816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6B6E8C"/>
    <w:multiLevelType w:val="hybridMultilevel"/>
    <w:tmpl w:val="0C5EEA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6CAD045A"/>
    <w:multiLevelType w:val="hybridMultilevel"/>
    <w:tmpl w:val="4A6677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6F5678F7"/>
    <w:multiLevelType w:val="hybridMultilevel"/>
    <w:tmpl w:val="F712F50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167"/>
    <w:rsid w:val="00081657"/>
    <w:rsid w:val="006420E2"/>
    <w:rsid w:val="00810167"/>
    <w:rsid w:val="00890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7C225"/>
  <w15:chartTrackingRefBased/>
  <w15:docId w15:val="{47E26BC8-47A1-4F01-BA09-B240DDEC8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65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81657"/>
    <w:pPr>
      <w:keepNext/>
      <w:jc w:val="center"/>
      <w:outlineLvl w:val="1"/>
    </w:pPr>
    <w:rPr>
      <w:rFonts w:cs="Arial"/>
      <w:b/>
      <w:bCs/>
      <w:iCs/>
      <w:caps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81657"/>
    <w:rPr>
      <w:rFonts w:ascii="Times New Roman" w:eastAsia="Times New Roman" w:hAnsi="Times New Roman" w:cs="Arial"/>
      <w:b/>
      <w:bCs/>
      <w:iCs/>
      <w:caps/>
      <w:sz w:val="28"/>
      <w:szCs w:val="19"/>
      <w:lang w:eastAsia="ru-RU"/>
    </w:rPr>
  </w:style>
  <w:style w:type="paragraph" w:customStyle="1" w:styleId="a3">
    <w:name w:val="Текст_книги"/>
    <w:basedOn w:val="a"/>
    <w:link w:val="a4"/>
    <w:autoRedefine/>
    <w:qFormat/>
    <w:rsid w:val="00081657"/>
    <w:pPr>
      <w:autoSpaceDE w:val="0"/>
      <w:autoSpaceDN w:val="0"/>
      <w:adjustRightInd w:val="0"/>
      <w:spacing w:line="218" w:lineRule="auto"/>
      <w:ind w:firstLine="284"/>
      <w:textAlignment w:val="center"/>
    </w:pPr>
    <w:rPr>
      <w:color w:val="000000"/>
      <w:spacing w:val="-2"/>
      <w:sz w:val="21"/>
      <w:szCs w:val="21"/>
    </w:rPr>
  </w:style>
  <w:style w:type="character" w:customStyle="1" w:styleId="a4">
    <w:name w:val="Текст_книги Знак"/>
    <w:link w:val="a3"/>
    <w:rsid w:val="00081657"/>
    <w:rPr>
      <w:rFonts w:ascii="Times New Roman" w:eastAsia="Times New Roman" w:hAnsi="Times New Roman" w:cs="Times New Roman"/>
      <w:color w:val="000000"/>
      <w:spacing w:val="-2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1B69C4BD4885E1C49AC9C7FBDD1C305D0C19120CF0DFCE9C246AB1AC2E1FCA2D4D4EB184BAB0C8EpDZDJ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1B69C4BD4885E1C49AC9C7FBDD1C305D0C19120CF0DFCE9C246AB1AC2E1FCA2D4D4EB184BAA048EpDZ6J" TargetMode="External"/><Relationship Id="rId12" Type="http://schemas.openxmlformats.org/officeDocument/2006/relationships/hyperlink" Target="consultantplus://offline/ref=71B69C4BD4885E1C49AC807CA3D1C305D7C2942BC804A1E3CA1FA718pCZ5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1B69C4BD4885E1C49AC807CA3D1C305D3C0972DC90BFCE9C246AB1AC2pEZ1J" TargetMode="External"/><Relationship Id="rId11" Type="http://schemas.openxmlformats.org/officeDocument/2006/relationships/hyperlink" Target="consultantplus://offline/ref=71B69C4BD4885E1C49AC807CA3D1C305D0C29F20C00EFCE9C246AB1AC2E1FCA2D4D4EB184BAA0C8FpDZ9J" TargetMode="External"/><Relationship Id="rId5" Type="http://schemas.openxmlformats.org/officeDocument/2006/relationships/hyperlink" Target="consultantplus://offline/ref=71B69C4BD4885E1C49AC807CA3D1C305D3C0972DC909FCE9C246AB1AC2pEZ1J" TargetMode="External"/><Relationship Id="rId10" Type="http://schemas.openxmlformats.org/officeDocument/2006/relationships/hyperlink" Target="consultantplus://offline/ref=71B69C4BD4885E1C49AC807CA3D1C305D9C99F2ACB04A1E3CA1FA718pCZ5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1B69C4BD4885E1C49AC9C7FBDD1C305D0C19120CF0DFCE9C246AB1AC2E1FCA2D4D4EB184BAB0E8ApDZD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1217</Words>
  <Characters>6938</Characters>
  <Application>Microsoft Office Word</Application>
  <DocSecurity>0</DocSecurity>
  <Lines>57</Lines>
  <Paragraphs>16</Paragraphs>
  <ScaleCrop>false</ScaleCrop>
  <Company/>
  <LinksUpToDate>false</LinksUpToDate>
  <CharactersWithSpaces>8139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oksivanova</dc:creator>
  <cp:keywords/>
  <dc:description/>
  <cp:lastModifiedBy>oksivanova</cp:lastModifiedBy>
  <cp:revision>2</cp:revision>
  <dcterms:created xsi:type="dcterms:W3CDTF">2021-01-17T11:59:00Z</dcterms:created>
  <dcterms:modified xsi:type="dcterms:W3CDTF">2021-01-17T12:02:00Z</dcterms:modified>
</cp:coreProperties>
</file>